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500" w:lineRule="exact"/>
        <w:jc w:val="center"/>
        <w:rPr>
          <w:rFonts w:eastAsia="华文中宋"/>
          <w:b/>
          <w:color w:val="000000" w:themeColor="text1"/>
          <w:sz w:val="36"/>
          <w:szCs w:val="36"/>
          <w14:textFill>
            <w14:solidFill>
              <w14:schemeClr w14:val="tx1"/>
            </w14:solidFill>
          </w14:textFill>
        </w:rPr>
      </w:pPr>
      <w:r>
        <w:rPr>
          <w:rFonts w:eastAsia="华文中宋"/>
          <w:b/>
          <w:color w:val="000000" w:themeColor="text1"/>
          <w:sz w:val="36"/>
          <w:szCs w:val="36"/>
          <w14:textFill>
            <w14:solidFill>
              <w14:schemeClr w14:val="tx1"/>
            </w14:solidFill>
          </w14:textFill>
        </w:rPr>
        <w:t>中国科学院特别交流计划管理办法</w:t>
      </w:r>
    </w:p>
    <w:p>
      <w:pPr>
        <w:adjustRightInd w:val="0"/>
        <w:snapToGrid w:val="0"/>
        <w:spacing w:before="156" w:beforeLines="50" w:after="156" w:afterLines="50" w:line="500" w:lineRule="exact"/>
        <w:jc w:val="center"/>
        <w:rPr>
          <w:rFonts w:eastAsia="黑体"/>
          <w:b/>
          <w:color w:val="000000" w:themeColor="text1"/>
          <w:sz w:val="28"/>
          <w:szCs w:val="28"/>
          <w14:textFill>
            <w14:solidFill>
              <w14:schemeClr w14:val="tx1"/>
            </w14:solidFill>
          </w14:textFill>
        </w:rPr>
      </w:pPr>
      <w:r>
        <w:rPr>
          <w:rFonts w:eastAsia="黑体"/>
          <w:b/>
          <w:color w:val="000000" w:themeColor="text1"/>
          <w:sz w:val="28"/>
          <w:szCs w:val="28"/>
          <w14:textFill>
            <w14:solidFill>
              <w14:schemeClr w14:val="tx1"/>
            </w14:solidFill>
          </w14:textFill>
        </w:rPr>
        <w:t>第一章</w:t>
      </w:r>
      <w:r>
        <w:rPr>
          <w:rFonts w:eastAsia="黑体"/>
          <w:b/>
          <w:color w:val="000000" w:themeColor="text1"/>
          <w:sz w:val="28"/>
          <w:szCs w:val="28"/>
          <w14:textFill>
            <w14:solidFill>
              <w14:schemeClr w14:val="tx1"/>
            </w14:solidFill>
          </w14:textFill>
        </w:rPr>
        <w:tab/>
      </w:r>
      <w:r>
        <w:rPr>
          <w:rFonts w:eastAsia="黑体"/>
          <w:b/>
          <w:color w:val="000000" w:themeColor="text1"/>
          <w:sz w:val="28"/>
          <w:szCs w:val="28"/>
          <w14:textFill>
            <w14:solidFill>
              <w14:schemeClr w14:val="tx1"/>
            </w14:solidFill>
          </w14:textFill>
        </w:rPr>
        <w:t>总则</w:t>
      </w:r>
    </w:p>
    <w:p>
      <w:pPr>
        <w:numPr>
          <w:ilvl w:val="0"/>
          <w:numId w:val="2"/>
        </w:numPr>
        <w:adjustRightInd w:val="0"/>
        <w:snapToGrid w:val="0"/>
        <w:spacing w:before="156" w:beforeLines="50" w:after="156" w:afterLines="50" w:line="500" w:lineRule="exact"/>
        <w:ind w:firstLine="562"/>
        <w:rPr>
          <w:rFonts w:ascii="仿宋_GB2312"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为加强与具有独特创新</w:t>
      </w:r>
      <w:r>
        <w:rPr>
          <w:rFonts w:hint="eastAsia" w:eastAsia="仿宋_GB2312"/>
          <w:color w:val="000000" w:themeColor="text1"/>
          <w:sz w:val="28"/>
          <w14:textFill>
            <w14:solidFill>
              <w14:schemeClr w14:val="tx1"/>
            </w14:solidFill>
          </w14:textFill>
        </w:rPr>
        <w:t>能力</w:t>
      </w:r>
      <w:r>
        <w:rPr>
          <w:rFonts w:hint="eastAsia" w:ascii="仿宋_GB2312" w:eastAsia="仿宋_GB2312"/>
          <w:color w:val="000000" w:themeColor="text1"/>
          <w:sz w:val="28"/>
          <w14:textFill>
            <w14:solidFill>
              <w14:schemeClr w14:val="tx1"/>
            </w14:solidFill>
          </w14:textFill>
        </w:rPr>
        <w:t>和人才优势的国家（地区）开展精准和高水平的科技合作，部署实施“中国科学院特别交流计划”（以下简称“特别交流计划”），特制定本管理办法。</w:t>
      </w:r>
    </w:p>
    <w:p>
      <w:pPr>
        <w:numPr>
          <w:ilvl w:val="0"/>
          <w:numId w:val="2"/>
        </w:numPr>
        <w:adjustRightInd w:val="0"/>
        <w:snapToGrid w:val="0"/>
        <w:spacing w:before="156" w:beforeLines="50" w:after="156" w:afterLines="50" w:line="500" w:lineRule="exact"/>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特别交流计划</w:t>
      </w:r>
      <w:r>
        <w:rPr>
          <w:rFonts w:hint="eastAsia" w:ascii="仿宋_GB2312" w:eastAsia="仿宋_GB2312"/>
          <w:color w:val="000000" w:themeColor="text1"/>
          <w:sz w:val="28"/>
          <w14:textFill>
            <w14:solidFill>
              <w14:schemeClr w14:val="tx1"/>
            </w14:solidFill>
          </w14:textFill>
        </w:rPr>
        <w:t>面向国家战略需求，</w:t>
      </w:r>
      <w:r>
        <w:rPr>
          <w:rFonts w:eastAsia="仿宋_GB2312"/>
          <w:color w:val="000000" w:themeColor="text1"/>
          <w:sz w:val="28"/>
          <w:szCs w:val="28"/>
          <w14:textFill>
            <w14:solidFill>
              <w14:schemeClr w14:val="tx1"/>
            </w14:solidFill>
          </w14:textFill>
        </w:rPr>
        <w:t>以我为主，有选择性地开展科技合作，聚焦</w:t>
      </w:r>
      <w:r>
        <w:rPr>
          <w:rFonts w:hint="eastAsia" w:eastAsia="仿宋_GB2312"/>
          <w:color w:val="000000" w:themeColor="text1"/>
          <w:sz w:val="28"/>
          <w:szCs w:val="28"/>
          <w14:textFill>
            <w14:solidFill>
              <w14:schemeClr w14:val="tx1"/>
            </w14:solidFill>
          </w14:textFill>
        </w:rPr>
        <w:t>于</w:t>
      </w:r>
      <w:r>
        <w:rPr>
          <w:rFonts w:eastAsia="仿宋_GB2312"/>
          <w:color w:val="000000" w:themeColor="text1"/>
          <w:sz w:val="28"/>
          <w:szCs w:val="28"/>
          <w14:textFill>
            <w14:solidFill>
              <w14:schemeClr w14:val="tx1"/>
            </w14:solidFill>
          </w14:textFill>
        </w:rPr>
        <w:t>智力和技术</w:t>
      </w:r>
      <w:r>
        <w:rPr>
          <w:rFonts w:hint="eastAsia" w:eastAsia="仿宋_GB2312"/>
          <w:color w:val="000000" w:themeColor="text1"/>
          <w:sz w:val="28"/>
          <w:szCs w:val="28"/>
          <w14:textFill>
            <w14:solidFill>
              <w14:schemeClr w14:val="tx1"/>
            </w14:solidFill>
          </w14:textFill>
        </w:rPr>
        <w:t>引进</w:t>
      </w:r>
      <w:r>
        <w:rPr>
          <w:rFonts w:eastAsia="仿宋_GB2312"/>
          <w:color w:val="000000" w:themeColor="text1"/>
          <w:sz w:val="28"/>
          <w:szCs w:val="28"/>
          <w14:textFill>
            <w14:solidFill>
              <w14:schemeClr w14:val="tx1"/>
            </w14:solidFill>
          </w14:textFill>
        </w:rPr>
        <w:t>，起到提前</w:t>
      </w:r>
      <w:r>
        <w:rPr>
          <w:rFonts w:hint="eastAsia" w:eastAsia="仿宋_GB2312"/>
          <w:color w:val="000000" w:themeColor="text1"/>
          <w:sz w:val="28"/>
          <w:szCs w:val="28"/>
          <w14:textFill>
            <w14:solidFill>
              <w14:schemeClr w14:val="tx1"/>
            </w14:solidFill>
          </w14:textFill>
        </w:rPr>
        <w:t>布局</w:t>
      </w:r>
      <w:r>
        <w:rPr>
          <w:rFonts w:eastAsia="仿宋_GB2312"/>
          <w:color w:val="000000" w:themeColor="text1"/>
          <w:sz w:val="28"/>
          <w:szCs w:val="28"/>
          <w14:textFill>
            <w14:solidFill>
              <w14:schemeClr w14:val="tx1"/>
            </w14:solidFill>
          </w14:textFill>
        </w:rPr>
        <w:t>和</w:t>
      </w:r>
      <w:r>
        <w:rPr>
          <w:rFonts w:hint="eastAsia" w:eastAsia="仿宋_GB2312"/>
          <w:color w:val="000000" w:themeColor="text1"/>
          <w:sz w:val="28"/>
          <w:szCs w:val="28"/>
          <w14:textFill>
            <w14:solidFill>
              <w14:schemeClr w14:val="tx1"/>
            </w14:solidFill>
          </w14:textFill>
        </w:rPr>
        <w:t>构建合作</w:t>
      </w:r>
      <w:r>
        <w:rPr>
          <w:rFonts w:eastAsia="仿宋_GB2312"/>
          <w:color w:val="000000" w:themeColor="text1"/>
          <w:sz w:val="28"/>
          <w:szCs w:val="28"/>
          <w14:textFill>
            <w14:solidFill>
              <w14:schemeClr w14:val="tx1"/>
            </w14:solidFill>
          </w14:textFill>
        </w:rPr>
        <w:t>网络的作用。</w:t>
      </w:r>
    </w:p>
    <w:p>
      <w:pPr>
        <w:pStyle w:val="33"/>
        <w:adjustRightInd w:val="0"/>
        <w:snapToGrid w:val="0"/>
        <w:spacing w:before="156" w:beforeLines="50" w:after="156" w:afterLines="50" w:line="500" w:lineRule="exact"/>
        <w:ind w:firstLine="0" w:firstLineChars="0"/>
        <w:jc w:val="center"/>
        <w:rPr>
          <w:rFonts w:eastAsia="黑体"/>
          <w:b/>
          <w:color w:val="000000" w:themeColor="text1"/>
          <w:sz w:val="28"/>
          <w:szCs w:val="28"/>
          <w14:textFill>
            <w14:solidFill>
              <w14:schemeClr w14:val="tx1"/>
            </w14:solidFill>
          </w14:textFill>
        </w:rPr>
      </w:pPr>
      <w:r>
        <w:rPr>
          <w:rFonts w:eastAsia="黑体"/>
          <w:b/>
          <w:color w:val="000000" w:themeColor="text1"/>
          <w:sz w:val="28"/>
          <w:szCs w:val="28"/>
          <w14:textFill>
            <w14:solidFill>
              <w14:schemeClr w14:val="tx1"/>
            </w14:solidFill>
          </w14:textFill>
        </w:rPr>
        <w:t>第二章 对象及内容</w:t>
      </w:r>
    </w:p>
    <w:p>
      <w:pPr>
        <w:numPr>
          <w:ilvl w:val="0"/>
          <w:numId w:val="2"/>
        </w:numPr>
        <w:adjustRightInd w:val="0"/>
        <w:snapToGrid w:val="0"/>
        <w:spacing w:before="156" w:beforeLines="50" w:after="156" w:afterLines="50" w:line="500" w:lineRule="exact"/>
        <w:rPr>
          <w:rFonts w:eastAsia="仿宋_GB2312"/>
          <w:color w:val="000000" w:themeColor="text1"/>
          <w:sz w:val="28"/>
          <w:szCs w:val="28"/>
          <w14:textFill>
            <w14:solidFill>
              <w14:schemeClr w14:val="tx1"/>
            </w14:solidFill>
          </w14:textFill>
        </w:rPr>
      </w:pPr>
      <w:bookmarkStart w:id="0" w:name="_Hlk492286827"/>
      <w:r>
        <w:rPr>
          <w:rFonts w:eastAsia="仿宋_GB2312"/>
          <w:color w:val="000000" w:themeColor="text1"/>
          <w:sz w:val="28"/>
          <w:szCs w:val="28"/>
          <w14:textFill>
            <w14:solidFill>
              <w14:schemeClr w14:val="tx1"/>
            </w14:solidFill>
          </w14:textFill>
        </w:rPr>
        <w:t>特别交流计划包括两类项目：</w:t>
      </w:r>
    </w:p>
    <w:p>
      <w:pPr>
        <w:pStyle w:val="33"/>
        <w:adjustRightInd w:val="0"/>
        <w:snapToGrid w:val="0"/>
        <w:spacing w:before="156" w:beforeLines="50" w:after="156" w:afterLines="50" w:line="500" w:lineRule="exact"/>
        <w:ind w:firstLine="56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（一）特别交流计划A类。执行期2年，资助标准5万元/年。主要</w:t>
      </w:r>
      <w:r>
        <w:rPr>
          <w:rFonts w:eastAsia="仿宋_GB2312"/>
          <w:color w:val="000000" w:themeColor="text1"/>
          <w:sz w:val="28"/>
          <w14:textFill>
            <w14:solidFill>
              <w14:schemeClr w14:val="tx1"/>
            </w14:solidFill>
          </w14:textFill>
        </w:rPr>
        <w:t>通过支持个人互访交流，与该国家</w:t>
      </w:r>
      <w:r>
        <w:rPr>
          <w:rFonts w:hint="eastAsia" w:eastAsia="仿宋_GB2312"/>
          <w:color w:val="000000" w:themeColor="text1"/>
          <w:sz w:val="28"/>
          <w14:textFill>
            <w14:solidFill>
              <w14:schemeClr w14:val="tx1"/>
            </w14:solidFill>
          </w14:textFill>
        </w:rPr>
        <w:t>（</w:t>
      </w:r>
      <w:r>
        <w:rPr>
          <w:rFonts w:eastAsia="仿宋_GB2312"/>
          <w:color w:val="000000" w:themeColor="text1"/>
          <w:sz w:val="28"/>
          <w14:textFill>
            <w14:solidFill>
              <w14:schemeClr w14:val="tx1"/>
            </w14:solidFill>
          </w14:textFill>
        </w:rPr>
        <w:t>地区</w:t>
      </w:r>
      <w:r>
        <w:rPr>
          <w:rFonts w:hint="eastAsia" w:eastAsia="仿宋_GB2312"/>
          <w:color w:val="000000" w:themeColor="text1"/>
          <w:sz w:val="28"/>
          <w14:textFill>
            <w14:solidFill>
              <w14:schemeClr w14:val="tx1"/>
            </w14:solidFill>
          </w14:textFill>
        </w:rPr>
        <w:t>）</w:t>
      </w:r>
      <w:r>
        <w:rPr>
          <w:rFonts w:eastAsia="仿宋_GB2312"/>
          <w:color w:val="000000" w:themeColor="text1"/>
          <w:sz w:val="28"/>
          <w14:textFill>
            <w14:solidFill>
              <w14:schemeClr w14:val="tx1"/>
            </w14:solidFill>
          </w14:textFill>
        </w:rPr>
        <w:t>建立</w:t>
      </w:r>
      <w:r>
        <w:rPr>
          <w:rFonts w:hint="eastAsia" w:eastAsia="仿宋_GB2312"/>
          <w:color w:val="000000" w:themeColor="text1"/>
          <w:sz w:val="28"/>
          <w14:textFill>
            <w14:solidFill>
              <w14:schemeClr w14:val="tx1"/>
            </w14:solidFill>
          </w14:textFill>
        </w:rPr>
        <w:t>合作</w:t>
      </w:r>
      <w:r>
        <w:rPr>
          <w:rFonts w:eastAsia="仿宋_GB2312"/>
          <w:color w:val="000000" w:themeColor="text1"/>
          <w:sz w:val="28"/>
          <w14:textFill>
            <w14:solidFill>
              <w14:schemeClr w14:val="tx1"/>
            </w14:solidFill>
          </w14:textFill>
        </w:rPr>
        <w:t>关系或延续合作</w:t>
      </w:r>
      <w:r>
        <w:rPr>
          <w:rFonts w:eastAsia="仿宋_GB2312"/>
          <w:color w:val="000000" w:themeColor="text1"/>
          <w:sz w:val="28"/>
          <w:szCs w:val="28"/>
          <w14:textFill>
            <w14:solidFill>
              <w14:schemeClr w14:val="tx1"/>
            </w14:solidFill>
          </w14:textFill>
        </w:rPr>
        <w:t>；</w:t>
      </w:r>
    </w:p>
    <w:p>
      <w:pPr>
        <w:pStyle w:val="33"/>
        <w:adjustRightInd w:val="0"/>
        <w:snapToGrid w:val="0"/>
        <w:spacing w:before="156" w:beforeLines="50" w:after="156" w:afterLines="50" w:line="500" w:lineRule="exact"/>
        <w:ind w:firstLine="560"/>
        <w:rPr>
          <w:rFonts w:eastAsia="仿宋_GB2312"/>
          <w:color w:val="000000" w:themeColor="text1"/>
          <w:sz w:val="28"/>
          <w14:textFill>
            <w14:solidFill>
              <w14:schemeClr w14:val="tx1"/>
            </w14:solidFill>
          </w14:textFill>
        </w:rPr>
      </w:pPr>
      <w:r>
        <w:rPr>
          <w:rFonts w:eastAsia="仿宋_GB2312"/>
          <w:color w:val="000000" w:themeColor="text1"/>
          <w:sz w:val="28"/>
          <w:szCs w:val="28"/>
          <w14:textFill>
            <w14:solidFill>
              <w14:schemeClr w14:val="tx1"/>
            </w14:solidFill>
          </w14:textFill>
        </w:rPr>
        <w:t>（二）特别交流计划B类。执行期2年，资助标准20万元/年。主要</w:t>
      </w:r>
      <w:r>
        <w:rPr>
          <w:rFonts w:eastAsia="仿宋_GB2312"/>
          <w:color w:val="000000" w:themeColor="text1"/>
          <w:sz w:val="28"/>
          <w14:textFill>
            <w14:solidFill>
              <w14:schemeClr w14:val="tx1"/>
            </w14:solidFill>
          </w14:textFill>
        </w:rPr>
        <w:t>支持以</w:t>
      </w:r>
      <w:r>
        <w:rPr>
          <w:rFonts w:eastAsia="仿宋_GB2312"/>
          <w:color w:val="000000" w:themeColor="text1"/>
          <w:sz w:val="28"/>
          <w:szCs w:val="28"/>
          <w14:textFill>
            <w14:solidFill>
              <w14:schemeClr w14:val="tx1"/>
            </w14:solidFill>
          </w14:textFill>
        </w:rPr>
        <w:t>院属研究机构或大学</w:t>
      </w:r>
      <w:r>
        <w:rPr>
          <w:rFonts w:hint="eastAsia" w:eastAsia="仿宋_GB2312"/>
          <w:color w:val="000000" w:themeColor="text1"/>
          <w:sz w:val="28"/>
          <w:szCs w:val="28"/>
          <w14:textFill>
            <w14:solidFill>
              <w14:schemeClr w14:val="tx1"/>
            </w14:solidFill>
          </w14:textFill>
        </w:rPr>
        <w:t>为单位的</w:t>
      </w:r>
      <w:r>
        <w:rPr>
          <w:rFonts w:eastAsia="仿宋_GB2312"/>
          <w:color w:val="000000" w:themeColor="text1"/>
          <w:sz w:val="28"/>
          <w14:textFill>
            <w14:solidFill>
              <w14:schemeClr w14:val="tx1"/>
            </w14:solidFill>
          </w14:textFill>
        </w:rPr>
        <w:t>团队互访交流，</w:t>
      </w:r>
      <w:r>
        <w:rPr>
          <w:rFonts w:hint="eastAsia" w:eastAsia="仿宋_GB2312"/>
          <w:color w:val="000000" w:themeColor="text1"/>
          <w:sz w:val="28"/>
          <w14:textFill>
            <w14:solidFill>
              <w14:schemeClr w14:val="tx1"/>
            </w14:solidFill>
          </w14:textFill>
        </w:rPr>
        <w:t>推动</w:t>
      </w:r>
      <w:r>
        <w:rPr>
          <w:rFonts w:eastAsia="仿宋_GB2312"/>
          <w:color w:val="000000" w:themeColor="text1"/>
          <w:sz w:val="28"/>
          <w:szCs w:val="28"/>
          <w14:textFill>
            <w14:solidFill>
              <w14:schemeClr w14:val="tx1"/>
            </w14:solidFill>
          </w14:textFill>
        </w:rPr>
        <w:t>中国科学院</w:t>
      </w:r>
      <w:r>
        <w:rPr>
          <w:rFonts w:eastAsia="仿宋_GB2312"/>
          <w:color w:val="000000" w:themeColor="text1"/>
          <w:sz w:val="28"/>
          <w14:textFill>
            <w14:solidFill>
              <w14:schemeClr w14:val="tx1"/>
            </w14:solidFill>
          </w14:textFill>
        </w:rPr>
        <w:t>与该国家</w:t>
      </w:r>
      <w:r>
        <w:rPr>
          <w:rFonts w:hint="eastAsia" w:eastAsia="仿宋_GB2312"/>
          <w:color w:val="000000" w:themeColor="text1"/>
          <w:sz w:val="28"/>
          <w14:textFill>
            <w14:solidFill>
              <w14:schemeClr w14:val="tx1"/>
            </w14:solidFill>
          </w14:textFill>
        </w:rPr>
        <w:t>（</w:t>
      </w:r>
      <w:r>
        <w:rPr>
          <w:rFonts w:eastAsia="仿宋_GB2312"/>
          <w:color w:val="000000" w:themeColor="text1"/>
          <w:sz w:val="28"/>
          <w14:textFill>
            <w14:solidFill>
              <w14:schemeClr w14:val="tx1"/>
            </w14:solidFill>
          </w14:textFill>
        </w:rPr>
        <w:t>地区</w:t>
      </w:r>
      <w:r>
        <w:rPr>
          <w:rFonts w:hint="eastAsia" w:eastAsia="仿宋_GB2312"/>
          <w:color w:val="000000" w:themeColor="text1"/>
          <w:sz w:val="28"/>
          <w14:textFill>
            <w14:solidFill>
              <w14:schemeClr w14:val="tx1"/>
            </w14:solidFill>
          </w14:textFill>
        </w:rPr>
        <w:t>）</w:t>
      </w:r>
      <w:r>
        <w:rPr>
          <w:rFonts w:eastAsia="仿宋_GB2312"/>
          <w:color w:val="000000" w:themeColor="text1"/>
          <w:sz w:val="28"/>
          <w14:textFill>
            <w14:solidFill>
              <w14:schemeClr w14:val="tx1"/>
            </w14:solidFill>
          </w14:textFill>
        </w:rPr>
        <w:t>在关键领域的实质性交流合作。</w:t>
      </w:r>
    </w:p>
    <w:p>
      <w:pPr>
        <w:numPr>
          <w:ilvl w:val="0"/>
          <w:numId w:val="2"/>
        </w:numPr>
        <w:adjustRightInd w:val="0"/>
        <w:snapToGrid w:val="0"/>
        <w:spacing w:before="156" w:beforeLines="50" w:after="156" w:afterLines="50" w:line="500" w:lineRule="exact"/>
        <w:ind w:firstLine="562"/>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特别交流计划涉及的国家和地区包括：</w:t>
      </w:r>
      <w:r>
        <w:rPr>
          <w:rFonts w:eastAsia="仿宋_GB2312"/>
          <w:color w:val="000000" w:themeColor="text1"/>
          <w:sz w:val="28"/>
          <w14:textFill>
            <w14:solidFill>
              <w14:schemeClr w14:val="tx1"/>
            </w14:solidFill>
          </w14:textFill>
        </w:rPr>
        <w:t>俄罗斯、乌克兰、白俄罗斯、摩尔多瓦、格鲁吉亚、亚美尼亚、阿塞拜疆、立陶宛、爱沙尼亚、拉脱维亚；哈萨克斯坦、乌兹别克斯坦、吉尔吉斯斯坦、土库曼斯坦、塔吉克斯坦、蒙古；波兰、匈牙利、捷克、斯洛伐克、罗马尼亚、保加利亚、阿尔巴尼亚、塞尔维亚（含科索沃）、黑山、克罗地亚、斯洛文尼亚、</w:t>
      </w:r>
      <w:r>
        <w:rPr>
          <w:rFonts w:hint="eastAsia" w:eastAsia="仿宋_GB2312"/>
          <w:color w:val="000000" w:themeColor="text1"/>
          <w:sz w:val="28"/>
          <w:lang w:eastAsia="zh-CN"/>
          <w14:textFill>
            <w14:solidFill>
              <w14:schemeClr w14:val="tx1"/>
            </w14:solidFill>
          </w14:textFill>
        </w:rPr>
        <w:t>北</w:t>
      </w:r>
      <w:bookmarkStart w:id="1" w:name="_GoBack"/>
      <w:bookmarkEnd w:id="1"/>
      <w:r>
        <w:rPr>
          <w:rFonts w:eastAsia="仿宋_GB2312"/>
          <w:color w:val="000000" w:themeColor="text1"/>
          <w:sz w:val="28"/>
          <w14:textFill>
            <w14:solidFill>
              <w14:schemeClr w14:val="tx1"/>
            </w14:solidFill>
          </w14:textFill>
        </w:rPr>
        <w:t>马其顿、波黑。</w:t>
      </w:r>
    </w:p>
    <w:bookmarkEnd w:id="0"/>
    <w:p>
      <w:pPr>
        <w:pStyle w:val="33"/>
        <w:adjustRightInd w:val="0"/>
        <w:snapToGrid w:val="0"/>
        <w:spacing w:before="156" w:beforeLines="50" w:after="156" w:afterLines="50" w:line="500" w:lineRule="exact"/>
        <w:ind w:firstLine="0" w:firstLineChars="0"/>
        <w:jc w:val="center"/>
        <w:rPr>
          <w:rFonts w:eastAsia="黑体"/>
          <w:b/>
          <w:color w:val="000000" w:themeColor="text1"/>
          <w:sz w:val="28"/>
          <w:szCs w:val="28"/>
          <w14:textFill>
            <w14:solidFill>
              <w14:schemeClr w14:val="tx1"/>
            </w14:solidFill>
          </w14:textFill>
        </w:rPr>
      </w:pPr>
      <w:r>
        <w:rPr>
          <w:rFonts w:eastAsia="黑体"/>
          <w:b/>
          <w:color w:val="000000" w:themeColor="text1"/>
          <w:sz w:val="28"/>
          <w:szCs w:val="28"/>
          <w14:textFill>
            <w14:solidFill>
              <w14:schemeClr w14:val="tx1"/>
            </w14:solidFill>
          </w14:textFill>
        </w:rPr>
        <w:t>第三章 管理职责</w:t>
      </w:r>
    </w:p>
    <w:p>
      <w:pPr>
        <w:numPr>
          <w:ilvl w:val="0"/>
          <w:numId w:val="2"/>
        </w:numPr>
        <w:adjustRightInd w:val="0"/>
        <w:snapToGrid w:val="0"/>
        <w:spacing w:before="156" w:beforeLines="50" w:after="156" w:afterLines="50" w:line="500" w:lineRule="exact"/>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中国科学院</w:t>
      </w:r>
      <w:r>
        <w:rPr>
          <w:rFonts w:eastAsia="仿宋_GB2312"/>
          <w:color w:val="000000" w:themeColor="text1"/>
          <w:sz w:val="28"/>
          <w:szCs w:val="28"/>
          <w14:textFill>
            <w14:solidFill>
              <w14:schemeClr w14:val="tx1"/>
            </w14:solidFill>
          </w14:textFill>
        </w:rPr>
        <w:t>国际合作局</w:t>
      </w:r>
      <w:r>
        <w:rPr>
          <w:rFonts w:hint="eastAsia" w:eastAsia="仿宋_GB2312"/>
          <w:color w:val="000000" w:themeColor="text1"/>
          <w:sz w:val="28"/>
          <w:szCs w:val="28"/>
          <w14:textFill>
            <w14:solidFill>
              <w14:schemeClr w14:val="tx1"/>
            </w14:solidFill>
          </w14:textFill>
        </w:rPr>
        <w:t>（以下简称“国际合作局”）</w:t>
      </w:r>
      <w:r>
        <w:rPr>
          <w:rFonts w:eastAsia="仿宋_GB2312"/>
          <w:color w:val="000000" w:themeColor="text1"/>
          <w:sz w:val="28"/>
          <w:szCs w:val="28"/>
          <w14:textFill>
            <w14:solidFill>
              <w14:schemeClr w14:val="tx1"/>
            </w14:solidFill>
          </w14:textFill>
        </w:rPr>
        <w:t>作为特别交流计划的主管部门，</w:t>
      </w:r>
      <w:r>
        <w:rPr>
          <w:rFonts w:hint="eastAsia" w:eastAsia="仿宋_GB2312"/>
          <w:color w:val="000000" w:themeColor="text1"/>
          <w:sz w:val="28"/>
          <w:szCs w:val="28"/>
          <w14:textFill>
            <w14:solidFill>
              <w14:schemeClr w14:val="tx1"/>
            </w14:solidFill>
          </w14:textFill>
        </w:rPr>
        <w:t>负责</w:t>
      </w:r>
      <w:r>
        <w:rPr>
          <w:rFonts w:eastAsia="仿宋_GB2312"/>
          <w:color w:val="000000" w:themeColor="text1"/>
          <w:sz w:val="28"/>
          <w:szCs w:val="28"/>
          <w14:textFill>
            <w14:solidFill>
              <w14:schemeClr w14:val="tx1"/>
            </w14:solidFill>
          </w14:textFill>
        </w:rPr>
        <w:t>计划的规划设计、立项审批、过程管理和经费总体使用，其主要职责是：</w:t>
      </w:r>
    </w:p>
    <w:p>
      <w:pPr>
        <w:pStyle w:val="33"/>
        <w:adjustRightInd w:val="0"/>
        <w:snapToGrid w:val="0"/>
        <w:spacing w:before="156" w:beforeLines="50" w:after="156" w:afterLines="50" w:line="500" w:lineRule="exact"/>
        <w:ind w:firstLine="56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（一）研究制定管理办法和有关规章制度；</w:t>
      </w:r>
    </w:p>
    <w:p>
      <w:pPr>
        <w:pStyle w:val="33"/>
        <w:adjustRightInd w:val="0"/>
        <w:snapToGrid w:val="0"/>
        <w:spacing w:before="156" w:beforeLines="50" w:after="156" w:afterLines="50" w:line="500" w:lineRule="exact"/>
        <w:ind w:firstLine="56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（二）编制、审定组织实施方案及申报要求；</w:t>
      </w:r>
    </w:p>
    <w:p>
      <w:pPr>
        <w:pStyle w:val="34"/>
        <w:adjustRightInd w:val="0"/>
        <w:snapToGrid w:val="0"/>
        <w:spacing w:before="156" w:beforeLines="50" w:after="156" w:afterLines="50" w:line="500" w:lineRule="exact"/>
        <w:ind w:firstLine="56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（三）组织开展年度项目评审工作，审批年度项目立项建议，批复立项；</w:t>
      </w:r>
    </w:p>
    <w:p>
      <w:pPr>
        <w:pStyle w:val="34"/>
        <w:adjustRightInd w:val="0"/>
        <w:snapToGrid w:val="0"/>
        <w:spacing w:before="156" w:beforeLines="50" w:after="156" w:afterLines="50" w:line="500" w:lineRule="exact"/>
        <w:ind w:firstLine="56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（四）指导、督促和检查项目的实施，并对项目的过程管理进行有效监督和绩效考评。</w:t>
      </w:r>
    </w:p>
    <w:p>
      <w:pPr>
        <w:numPr>
          <w:ilvl w:val="0"/>
          <w:numId w:val="2"/>
        </w:numPr>
        <w:adjustRightInd w:val="0"/>
        <w:snapToGrid w:val="0"/>
        <w:spacing w:before="156" w:beforeLines="50" w:after="156" w:afterLines="50" w:line="500" w:lineRule="exact"/>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项目依托单位为中国科学院院属研究机构或大学，承担项目实施的法人主体责任</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负责项目的组织推荐和实施监督，对项目信息的真实性、有效性和项目目标的完成及实施效果负责。其主要职责是：</w:t>
      </w:r>
    </w:p>
    <w:p>
      <w:pPr>
        <w:pStyle w:val="33"/>
        <w:adjustRightInd w:val="0"/>
        <w:snapToGrid w:val="0"/>
        <w:spacing w:before="156" w:beforeLines="50" w:after="156" w:afterLines="50" w:line="500" w:lineRule="exact"/>
        <w:ind w:firstLine="56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（一）负责项目申报材料的审查和推荐；</w:t>
      </w:r>
    </w:p>
    <w:p>
      <w:pPr>
        <w:pStyle w:val="33"/>
        <w:adjustRightInd w:val="0"/>
        <w:snapToGrid w:val="0"/>
        <w:spacing w:before="156" w:beforeLines="50" w:after="156" w:afterLines="50" w:line="500" w:lineRule="exact"/>
        <w:ind w:firstLine="56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（二）指导和监督项目实施，并提供必要的协助和保障；</w:t>
      </w:r>
    </w:p>
    <w:p>
      <w:pPr>
        <w:pStyle w:val="33"/>
        <w:adjustRightInd w:val="0"/>
        <w:snapToGrid w:val="0"/>
        <w:spacing w:before="156" w:beforeLines="50" w:after="156" w:afterLines="50" w:line="500" w:lineRule="exact"/>
        <w:ind w:firstLine="56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（三）协调并处理项目执行过程中出现的问题，对重大事项调整等提出审查意见；</w:t>
      </w:r>
    </w:p>
    <w:p>
      <w:pPr>
        <w:pStyle w:val="33"/>
        <w:adjustRightInd w:val="0"/>
        <w:snapToGrid w:val="0"/>
        <w:spacing w:before="156" w:beforeLines="50" w:after="156" w:afterLines="50" w:line="500" w:lineRule="exact"/>
        <w:ind w:firstLine="56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（四）监督、检查项目经费使用情况；</w:t>
      </w:r>
    </w:p>
    <w:p>
      <w:pPr>
        <w:pStyle w:val="33"/>
        <w:adjustRightInd w:val="0"/>
        <w:snapToGrid w:val="0"/>
        <w:spacing w:before="156" w:beforeLines="50" w:after="156" w:afterLines="50" w:line="500" w:lineRule="exact"/>
        <w:ind w:firstLine="56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（五）对涉及的知识产权、保密内容等进行管理，推动合作成果的保护、应用和转化，维护各方权益。</w:t>
      </w:r>
    </w:p>
    <w:p>
      <w:pPr>
        <w:numPr>
          <w:ilvl w:val="0"/>
          <w:numId w:val="2"/>
        </w:numPr>
        <w:adjustRightInd w:val="0"/>
        <w:snapToGrid w:val="0"/>
        <w:spacing w:before="156" w:beforeLines="50" w:after="156" w:afterLines="50" w:line="500" w:lineRule="exact"/>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项目负责人在批准的项目计划任务和预算范围内，依照国家有关规定享有充分的项目管理权。其主要职责是：</w:t>
      </w:r>
    </w:p>
    <w:p>
      <w:pPr>
        <w:pStyle w:val="33"/>
        <w:adjustRightInd w:val="0"/>
        <w:snapToGrid w:val="0"/>
        <w:spacing w:before="156" w:beforeLines="50" w:after="156" w:afterLines="50" w:line="500" w:lineRule="exact"/>
        <w:ind w:firstLine="56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（一）对项目申请信息和项目执行中各类上报信息的真实性和准确性负责；</w:t>
      </w:r>
    </w:p>
    <w:p>
      <w:pPr>
        <w:pStyle w:val="33"/>
        <w:adjustRightInd w:val="0"/>
        <w:snapToGrid w:val="0"/>
        <w:spacing w:before="156" w:beforeLines="50" w:after="156" w:afterLines="50" w:line="500" w:lineRule="exact"/>
        <w:ind w:firstLine="56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（二）承担并完成项目任务书中规定的工作内容和任务，达到项目考核指标；</w:t>
      </w:r>
    </w:p>
    <w:p>
      <w:pPr>
        <w:pStyle w:val="33"/>
        <w:adjustRightInd w:val="0"/>
        <w:snapToGrid w:val="0"/>
        <w:spacing w:before="156" w:beforeLines="50" w:after="156" w:afterLines="50" w:line="500" w:lineRule="exact"/>
        <w:ind w:firstLine="56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（三）遵守</w:t>
      </w:r>
      <w:r>
        <w:rPr>
          <w:rFonts w:hint="eastAsia" w:eastAsia="仿宋_GB2312"/>
          <w:color w:val="000000" w:themeColor="text1"/>
          <w:sz w:val="28"/>
          <w:szCs w:val="28"/>
          <w14:textFill>
            <w14:solidFill>
              <w14:schemeClr w14:val="tx1"/>
            </w14:solidFill>
          </w14:textFill>
        </w:rPr>
        <w:t>本</w:t>
      </w:r>
      <w:r>
        <w:rPr>
          <w:rFonts w:eastAsia="仿宋_GB2312"/>
          <w:color w:val="000000" w:themeColor="text1"/>
          <w:sz w:val="28"/>
          <w:szCs w:val="28"/>
          <w14:textFill>
            <w14:solidFill>
              <w14:schemeClr w14:val="tx1"/>
            </w14:solidFill>
          </w14:textFill>
        </w:rPr>
        <w:t>管理办法</w:t>
      </w:r>
      <w:r>
        <w:rPr>
          <w:rFonts w:hint="eastAsia" w:eastAsia="仿宋_GB2312"/>
          <w:color w:val="000000" w:themeColor="text1"/>
          <w:sz w:val="28"/>
          <w:szCs w:val="28"/>
          <w14:textFill>
            <w14:solidFill>
              <w14:schemeClr w14:val="tx1"/>
            </w14:solidFill>
          </w14:textFill>
        </w:rPr>
        <w:t>第五章</w:t>
      </w:r>
      <w:r>
        <w:rPr>
          <w:rFonts w:eastAsia="仿宋_GB2312"/>
          <w:color w:val="000000" w:themeColor="text1"/>
          <w:sz w:val="28"/>
          <w:szCs w:val="28"/>
          <w14:textFill>
            <w14:solidFill>
              <w14:schemeClr w14:val="tx1"/>
            </w14:solidFill>
          </w14:textFill>
        </w:rPr>
        <w:t>的有关规定，严格按特别交流计划的经费管理要求使用经费；</w:t>
      </w:r>
    </w:p>
    <w:p>
      <w:pPr>
        <w:pStyle w:val="33"/>
        <w:adjustRightInd w:val="0"/>
        <w:snapToGrid w:val="0"/>
        <w:spacing w:before="156" w:beforeLines="50" w:after="156" w:afterLines="50" w:line="500" w:lineRule="exact"/>
        <w:ind w:firstLine="56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（四）客观、及时报告项目执行过程中出现的重大问题。</w:t>
      </w:r>
    </w:p>
    <w:p>
      <w:pPr>
        <w:adjustRightInd w:val="0"/>
        <w:snapToGrid w:val="0"/>
        <w:spacing w:before="156" w:beforeLines="50" w:after="156" w:afterLines="50" w:line="500" w:lineRule="exact"/>
        <w:jc w:val="center"/>
        <w:rPr>
          <w:rFonts w:eastAsia="黑体"/>
          <w:b/>
          <w:color w:val="000000" w:themeColor="text1"/>
          <w:sz w:val="28"/>
          <w:szCs w:val="28"/>
          <w14:textFill>
            <w14:solidFill>
              <w14:schemeClr w14:val="tx1"/>
            </w14:solidFill>
          </w14:textFill>
        </w:rPr>
      </w:pPr>
      <w:r>
        <w:rPr>
          <w:rFonts w:eastAsia="黑体"/>
          <w:b/>
          <w:color w:val="000000" w:themeColor="text1"/>
          <w:sz w:val="28"/>
          <w:szCs w:val="28"/>
          <w14:textFill>
            <w14:solidFill>
              <w14:schemeClr w14:val="tx1"/>
            </w14:solidFill>
          </w14:textFill>
        </w:rPr>
        <w:t>第四章 申请与评审</w:t>
      </w:r>
    </w:p>
    <w:p>
      <w:pPr>
        <w:numPr>
          <w:ilvl w:val="0"/>
          <w:numId w:val="2"/>
        </w:numPr>
        <w:adjustRightInd w:val="0"/>
        <w:snapToGrid w:val="0"/>
        <w:spacing w:before="156" w:beforeLines="50" w:after="156" w:afterLines="50" w:line="500" w:lineRule="exact"/>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申请特别交流计划需满足如下条件：</w:t>
      </w:r>
    </w:p>
    <w:p>
      <w:pPr>
        <w:pStyle w:val="34"/>
        <w:adjustRightInd w:val="0"/>
        <w:snapToGrid w:val="0"/>
        <w:spacing w:before="156" w:beforeLines="50" w:after="156" w:afterLines="50" w:line="500" w:lineRule="exact"/>
        <w:ind w:firstLine="56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（一）特别交流计划A类：项目负责人应为具有副高及以上职称的在职科研人员；项目合作外方单位人员每年应</w:t>
      </w:r>
      <w:r>
        <w:rPr>
          <w:rFonts w:hint="eastAsia" w:ascii="Times New Roman" w:hAnsi="Times New Roman" w:eastAsia="仿宋_GB2312"/>
          <w:color w:val="000000" w:themeColor="text1"/>
          <w:sz w:val="28"/>
          <w:szCs w:val="28"/>
          <w14:textFill>
            <w14:solidFill>
              <w14:schemeClr w14:val="tx1"/>
            </w14:solidFill>
          </w14:textFill>
        </w:rPr>
        <w:t>至少</w:t>
      </w:r>
      <w:r>
        <w:rPr>
          <w:rFonts w:ascii="Times New Roman" w:hAnsi="Times New Roman" w:eastAsia="仿宋_GB2312"/>
          <w:color w:val="000000" w:themeColor="text1"/>
          <w:sz w:val="28"/>
          <w:szCs w:val="28"/>
          <w14:textFill>
            <w14:solidFill>
              <w14:schemeClr w14:val="tx1"/>
            </w14:solidFill>
          </w14:textFill>
        </w:rPr>
        <w:t>来华2次。</w:t>
      </w:r>
    </w:p>
    <w:p>
      <w:pPr>
        <w:pStyle w:val="34"/>
        <w:adjustRightInd w:val="0"/>
        <w:snapToGrid w:val="0"/>
        <w:spacing w:before="156" w:beforeLines="50" w:after="156" w:afterLines="50" w:line="500" w:lineRule="exact"/>
        <w:ind w:firstLine="56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（二）特别交流计划B类：申报应以中国科学院院属研究机构或大学为单位，有2个及以上项目团队参加，项目负责人应为具有副高及以上职称的在职科研人员；各项目外方合作单位人员每年应</w:t>
      </w:r>
      <w:r>
        <w:rPr>
          <w:rFonts w:hint="eastAsia" w:ascii="Times New Roman" w:hAnsi="Times New Roman" w:eastAsia="仿宋_GB2312"/>
          <w:color w:val="000000" w:themeColor="text1"/>
          <w:sz w:val="28"/>
          <w:szCs w:val="28"/>
          <w14:textFill>
            <w14:solidFill>
              <w14:schemeClr w14:val="tx1"/>
            </w14:solidFill>
          </w14:textFill>
        </w:rPr>
        <w:t>至少</w:t>
      </w:r>
      <w:r>
        <w:rPr>
          <w:rFonts w:ascii="Times New Roman" w:hAnsi="Times New Roman" w:eastAsia="仿宋_GB2312"/>
          <w:color w:val="000000" w:themeColor="text1"/>
          <w:sz w:val="28"/>
          <w:szCs w:val="28"/>
          <w14:textFill>
            <w14:solidFill>
              <w14:schemeClr w14:val="tx1"/>
            </w14:solidFill>
          </w14:textFill>
        </w:rPr>
        <w:t>来华3次。</w:t>
      </w:r>
    </w:p>
    <w:p>
      <w:pPr>
        <w:pStyle w:val="34"/>
        <w:adjustRightInd w:val="0"/>
        <w:snapToGrid w:val="0"/>
        <w:spacing w:before="156" w:beforeLines="50" w:after="156" w:afterLines="50" w:line="500" w:lineRule="exact"/>
        <w:ind w:firstLine="56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（三）中方申请</w:t>
      </w:r>
      <w:r>
        <w:rPr>
          <w:rFonts w:hint="eastAsia" w:ascii="Times New Roman" w:hAnsi="Times New Roman" w:eastAsia="仿宋_GB2312"/>
          <w:color w:val="000000" w:themeColor="text1"/>
          <w:sz w:val="28"/>
          <w:szCs w:val="28"/>
          <w14:textFill>
            <w14:solidFill>
              <w14:schemeClr w14:val="tx1"/>
            </w14:solidFill>
          </w14:textFill>
        </w:rPr>
        <w:t>人员</w:t>
      </w:r>
      <w:r>
        <w:rPr>
          <w:rFonts w:ascii="Times New Roman" w:hAnsi="Times New Roman" w:eastAsia="仿宋_GB2312"/>
          <w:color w:val="000000" w:themeColor="text1"/>
          <w:sz w:val="28"/>
          <w:szCs w:val="28"/>
          <w14:textFill>
            <w14:solidFill>
              <w14:schemeClr w14:val="tx1"/>
            </w14:solidFill>
          </w14:textFill>
        </w:rPr>
        <w:t>与外方合作单位人员均未获得当年院级协议交流项目资助。</w:t>
      </w:r>
    </w:p>
    <w:p>
      <w:pPr>
        <w:numPr>
          <w:ilvl w:val="0"/>
          <w:numId w:val="2"/>
        </w:numPr>
        <w:adjustRightInd w:val="0"/>
        <w:snapToGrid w:val="0"/>
        <w:spacing w:before="156" w:beforeLines="50" w:after="156" w:afterLines="50" w:line="500" w:lineRule="exact"/>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特别交流计划每年8月至10月启动征集下一年度项目，由国际合作局统一发布年度申报通知。</w:t>
      </w:r>
    </w:p>
    <w:p>
      <w:pPr>
        <w:numPr>
          <w:ilvl w:val="0"/>
          <w:numId w:val="2"/>
        </w:numPr>
        <w:adjustRightInd w:val="0"/>
        <w:snapToGrid w:val="0"/>
        <w:spacing w:before="156" w:beforeLines="50" w:after="156" w:afterLines="50" w:line="500" w:lineRule="exact"/>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项目申请人应按</w:t>
      </w:r>
      <w:r>
        <w:rPr>
          <w:rFonts w:hint="eastAsia" w:eastAsia="仿宋_GB2312"/>
          <w:color w:val="000000" w:themeColor="text1"/>
          <w:sz w:val="28"/>
          <w:szCs w:val="28"/>
          <w14:textFill>
            <w14:solidFill>
              <w14:schemeClr w14:val="tx1"/>
            </w14:solidFill>
          </w14:textFill>
        </w:rPr>
        <w:t>申报通知</w:t>
      </w:r>
      <w:r>
        <w:rPr>
          <w:rFonts w:eastAsia="仿宋_GB2312"/>
          <w:color w:val="000000" w:themeColor="text1"/>
          <w:sz w:val="28"/>
          <w:szCs w:val="28"/>
          <w14:textFill>
            <w14:solidFill>
              <w14:schemeClr w14:val="tx1"/>
            </w14:solidFill>
          </w14:textFill>
        </w:rPr>
        <w:t>要求</w:t>
      </w:r>
      <w:r>
        <w:rPr>
          <w:rFonts w:hint="eastAsia" w:eastAsia="仿宋_GB2312"/>
          <w:color w:val="000000" w:themeColor="text1"/>
          <w:sz w:val="28"/>
          <w:szCs w:val="28"/>
          <w14:textFill>
            <w14:solidFill>
              <w14:schemeClr w14:val="tx1"/>
            </w14:solidFill>
          </w14:textFill>
        </w:rPr>
        <w:t>准备相关材料</w:t>
      </w:r>
      <w:r>
        <w:rPr>
          <w:rFonts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并经</w:t>
      </w:r>
      <w:r>
        <w:rPr>
          <w:rFonts w:eastAsia="仿宋_GB2312"/>
          <w:color w:val="000000" w:themeColor="text1"/>
          <w:sz w:val="28"/>
          <w:szCs w:val="28"/>
          <w14:textFill>
            <w14:solidFill>
              <w14:schemeClr w14:val="tx1"/>
            </w14:solidFill>
          </w14:textFill>
        </w:rPr>
        <w:t>项目依托单位审查</w:t>
      </w:r>
      <w:r>
        <w:rPr>
          <w:rFonts w:hint="eastAsia" w:eastAsia="仿宋_GB2312"/>
          <w:color w:val="000000" w:themeColor="text1"/>
          <w:sz w:val="28"/>
          <w:szCs w:val="28"/>
          <w14:textFill>
            <w14:solidFill>
              <w14:schemeClr w14:val="tx1"/>
            </w14:solidFill>
          </w14:textFill>
        </w:rPr>
        <w:t>和推荐后提交</w:t>
      </w:r>
      <w:r>
        <w:rPr>
          <w:rFonts w:eastAsia="仿宋_GB2312"/>
          <w:color w:val="000000" w:themeColor="text1"/>
          <w:sz w:val="28"/>
          <w:szCs w:val="28"/>
          <w14:textFill>
            <w14:solidFill>
              <w14:schemeClr w14:val="tx1"/>
            </w14:solidFill>
          </w14:textFill>
        </w:rPr>
        <w:t>。</w:t>
      </w:r>
    </w:p>
    <w:p>
      <w:pPr>
        <w:numPr>
          <w:ilvl w:val="0"/>
          <w:numId w:val="2"/>
        </w:numPr>
        <w:adjustRightInd w:val="0"/>
        <w:snapToGrid w:val="0"/>
        <w:spacing w:before="156" w:beforeLines="50" w:after="156" w:afterLines="50" w:line="500" w:lineRule="exact"/>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国际合作局对申报材料进行形式审查，并组织对申报项目进行评审。</w:t>
      </w:r>
    </w:p>
    <w:p>
      <w:pPr>
        <w:numPr>
          <w:ilvl w:val="0"/>
          <w:numId w:val="2"/>
        </w:numPr>
        <w:adjustRightInd w:val="0"/>
        <w:snapToGrid w:val="0"/>
        <w:spacing w:before="156" w:beforeLines="50" w:after="156" w:afterLines="50" w:line="500" w:lineRule="exact"/>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通过评审的项目经国际合作局局长办公会审议并报主管院领导审批后，以</w:t>
      </w:r>
      <w:r>
        <w:rPr>
          <w:rFonts w:hint="eastAsia" w:eastAsia="仿宋_GB2312"/>
          <w:color w:val="000000" w:themeColor="text1"/>
          <w:sz w:val="28"/>
          <w:szCs w:val="28"/>
          <w14:textFill>
            <w14:solidFill>
              <w14:schemeClr w14:val="tx1"/>
            </w14:solidFill>
          </w14:textFill>
        </w:rPr>
        <w:t>书面</w:t>
      </w:r>
      <w:r>
        <w:rPr>
          <w:rFonts w:eastAsia="仿宋_GB2312"/>
          <w:color w:val="000000" w:themeColor="text1"/>
          <w:sz w:val="28"/>
          <w:szCs w:val="28"/>
          <w14:textFill>
            <w14:solidFill>
              <w14:schemeClr w14:val="tx1"/>
            </w14:solidFill>
          </w14:textFill>
        </w:rPr>
        <w:t>方式通知</w:t>
      </w:r>
      <w:r>
        <w:rPr>
          <w:rFonts w:hint="eastAsia" w:eastAsia="仿宋_GB2312"/>
          <w:color w:val="000000" w:themeColor="text1"/>
          <w:sz w:val="28"/>
          <w:szCs w:val="28"/>
          <w14:textFill>
            <w14:solidFill>
              <w14:schemeClr w14:val="tx1"/>
            </w14:solidFill>
          </w14:textFill>
        </w:rPr>
        <w:t>项目依托</w:t>
      </w:r>
      <w:r>
        <w:rPr>
          <w:rFonts w:eastAsia="仿宋_GB2312"/>
          <w:color w:val="000000" w:themeColor="text1"/>
          <w:sz w:val="28"/>
          <w:szCs w:val="28"/>
          <w14:textFill>
            <w14:solidFill>
              <w14:schemeClr w14:val="tx1"/>
            </w14:solidFill>
          </w14:textFill>
        </w:rPr>
        <w:t>单位。</w:t>
      </w:r>
    </w:p>
    <w:p>
      <w:pPr>
        <w:adjustRightInd w:val="0"/>
        <w:snapToGrid w:val="0"/>
        <w:spacing w:before="156" w:beforeLines="50" w:after="156" w:afterLines="50" w:line="500" w:lineRule="exact"/>
        <w:jc w:val="center"/>
        <w:rPr>
          <w:rFonts w:eastAsia="黑体"/>
          <w:b/>
          <w:color w:val="000000" w:themeColor="text1"/>
          <w:sz w:val="28"/>
          <w:szCs w:val="28"/>
          <w14:textFill>
            <w14:solidFill>
              <w14:schemeClr w14:val="tx1"/>
            </w14:solidFill>
          </w14:textFill>
        </w:rPr>
      </w:pPr>
      <w:r>
        <w:rPr>
          <w:rFonts w:eastAsia="黑体"/>
          <w:b/>
          <w:color w:val="000000" w:themeColor="text1"/>
          <w:sz w:val="28"/>
          <w:szCs w:val="28"/>
          <w14:textFill>
            <w14:solidFill>
              <w14:schemeClr w14:val="tx1"/>
            </w14:solidFill>
          </w14:textFill>
        </w:rPr>
        <w:t>第五章</w:t>
      </w:r>
      <w:r>
        <w:rPr>
          <w:rFonts w:eastAsia="黑体"/>
          <w:b/>
          <w:color w:val="000000" w:themeColor="text1"/>
          <w:sz w:val="28"/>
          <w:szCs w:val="28"/>
          <w14:textFill>
            <w14:solidFill>
              <w14:schemeClr w14:val="tx1"/>
            </w14:solidFill>
          </w14:textFill>
        </w:rPr>
        <w:tab/>
      </w:r>
      <w:r>
        <w:rPr>
          <w:rFonts w:eastAsia="黑体"/>
          <w:b/>
          <w:color w:val="000000" w:themeColor="text1"/>
          <w:sz w:val="28"/>
          <w:szCs w:val="28"/>
          <w14:textFill>
            <w14:solidFill>
              <w14:schemeClr w14:val="tx1"/>
            </w14:solidFill>
          </w14:textFill>
        </w:rPr>
        <w:t>经费管理</w:t>
      </w:r>
    </w:p>
    <w:p>
      <w:pPr>
        <w:pStyle w:val="33"/>
        <w:numPr>
          <w:ilvl w:val="0"/>
          <w:numId w:val="2"/>
        </w:numPr>
        <w:spacing w:before="156" w:beforeLines="50" w:after="156" w:afterLines="50" w:line="500" w:lineRule="exact"/>
        <w:ind w:firstLine="567" w:firstLineChars="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特别交流计划经费用于申报团队及其外方合作单位人员的来访或出访补助，包括机票、住宿、补贴等。</w:t>
      </w:r>
    </w:p>
    <w:p>
      <w:pPr>
        <w:pStyle w:val="34"/>
        <w:numPr>
          <w:ilvl w:val="0"/>
          <w:numId w:val="2"/>
        </w:numPr>
        <w:spacing w:before="156" w:beforeLines="50" w:after="156" w:afterLines="50" w:line="500" w:lineRule="exact"/>
        <w:ind w:firstLine="567" w:firstLineChars="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特别交流计划经费应主要用于邀请外方合作单位人员来访，项目预算中出访预算不得超过来访预算。</w:t>
      </w:r>
    </w:p>
    <w:p>
      <w:pPr>
        <w:pStyle w:val="33"/>
        <w:numPr>
          <w:ilvl w:val="0"/>
          <w:numId w:val="2"/>
        </w:numPr>
        <w:adjustRightInd w:val="0"/>
        <w:snapToGrid w:val="0"/>
        <w:spacing w:before="156" w:beforeLines="50" w:after="156" w:afterLines="50" w:line="500" w:lineRule="exact"/>
        <w:ind w:firstLine="560" w:firstLineChars="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特别交流计划经费资助方式为拨款制。根据年度预算执行情况，对于首年度经费执行不力的项目，国际合作局将核减其第二年度经费。</w:t>
      </w:r>
    </w:p>
    <w:p>
      <w:pPr>
        <w:numPr>
          <w:ilvl w:val="0"/>
          <w:numId w:val="2"/>
        </w:numPr>
        <w:adjustRightInd w:val="0"/>
        <w:snapToGrid w:val="0"/>
        <w:spacing w:before="156" w:beforeLines="50" w:after="156" w:afterLines="50" w:line="500" w:lineRule="exact"/>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特别交流计划经费的使用与管理，须严格按照国家财务制度、外事经费管理和院有关规定执行，自觉接受财务主管部门、审计部门和国际合作局的检查和监督。 </w:t>
      </w:r>
    </w:p>
    <w:p>
      <w:pPr>
        <w:pStyle w:val="33"/>
        <w:adjustRightInd w:val="0"/>
        <w:snapToGrid w:val="0"/>
        <w:spacing w:before="156" w:beforeLines="50" w:after="156" w:afterLines="50" w:line="500" w:lineRule="exact"/>
        <w:ind w:firstLine="0" w:firstLineChars="0"/>
        <w:jc w:val="center"/>
        <w:rPr>
          <w:rFonts w:eastAsia="黑体"/>
          <w:b/>
          <w:color w:val="000000" w:themeColor="text1"/>
          <w:sz w:val="28"/>
          <w:szCs w:val="28"/>
          <w14:textFill>
            <w14:solidFill>
              <w14:schemeClr w14:val="tx1"/>
            </w14:solidFill>
          </w14:textFill>
        </w:rPr>
      </w:pPr>
      <w:r>
        <w:rPr>
          <w:rFonts w:eastAsia="黑体"/>
          <w:b/>
          <w:color w:val="000000" w:themeColor="text1"/>
          <w:sz w:val="28"/>
          <w:szCs w:val="28"/>
          <w14:textFill>
            <w14:solidFill>
              <w14:schemeClr w14:val="tx1"/>
            </w14:solidFill>
          </w14:textFill>
        </w:rPr>
        <w:t>第六章</w:t>
      </w:r>
      <w:r>
        <w:rPr>
          <w:rFonts w:eastAsia="黑体"/>
          <w:b/>
          <w:color w:val="000000" w:themeColor="text1"/>
          <w:sz w:val="28"/>
          <w:szCs w:val="28"/>
          <w14:textFill>
            <w14:solidFill>
              <w14:schemeClr w14:val="tx1"/>
            </w14:solidFill>
          </w14:textFill>
        </w:rPr>
        <w:tab/>
      </w:r>
      <w:r>
        <w:rPr>
          <w:rFonts w:eastAsia="黑体"/>
          <w:b/>
          <w:color w:val="000000" w:themeColor="text1"/>
          <w:sz w:val="28"/>
          <w:szCs w:val="28"/>
          <w14:textFill>
            <w14:solidFill>
              <w14:schemeClr w14:val="tx1"/>
            </w14:solidFill>
          </w14:textFill>
        </w:rPr>
        <w:t>验收</w:t>
      </w:r>
    </w:p>
    <w:p>
      <w:pPr>
        <w:pStyle w:val="34"/>
        <w:numPr>
          <w:ilvl w:val="0"/>
          <w:numId w:val="2"/>
        </w:numPr>
        <w:spacing w:before="156" w:beforeLines="50" w:after="156" w:afterLines="50" w:line="500" w:lineRule="exact"/>
        <w:ind w:firstLineChars="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项目负责人应在项目</w:t>
      </w:r>
      <w:r>
        <w:rPr>
          <w:rFonts w:hint="eastAsia" w:ascii="Times New Roman" w:hAnsi="Times New Roman" w:eastAsia="仿宋_GB2312"/>
          <w:color w:val="000000" w:themeColor="text1"/>
          <w:sz w:val="28"/>
          <w:szCs w:val="28"/>
          <w14:textFill>
            <w14:solidFill>
              <w14:schemeClr w14:val="tx1"/>
            </w14:solidFill>
          </w14:textFill>
        </w:rPr>
        <w:t>执行期</w:t>
      </w:r>
      <w:r>
        <w:rPr>
          <w:rFonts w:ascii="Times New Roman" w:hAnsi="Times New Roman" w:eastAsia="仿宋_GB2312"/>
          <w:color w:val="000000" w:themeColor="text1"/>
          <w:sz w:val="28"/>
          <w:szCs w:val="28"/>
          <w14:textFill>
            <w14:solidFill>
              <w14:schemeClr w14:val="tx1"/>
            </w14:solidFill>
          </w14:textFill>
        </w:rPr>
        <w:t>结束</w:t>
      </w:r>
      <w:r>
        <w:rPr>
          <w:rFonts w:hint="eastAsia" w:ascii="Times New Roman" w:hAnsi="Times New Roman" w:eastAsia="仿宋_GB2312"/>
          <w:color w:val="000000" w:themeColor="text1"/>
          <w:sz w:val="28"/>
          <w:szCs w:val="28"/>
          <w14:textFill>
            <w14:solidFill>
              <w14:schemeClr w14:val="tx1"/>
            </w14:solidFill>
          </w14:textFill>
        </w:rPr>
        <w:t>30天</w:t>
      </w:r>
      <w:r>
        <w:rPr>
          <w:rFonts w:ascii="Times New Roman" w:hAnsi="Times New Roman" w:eastAsia="仿宋_GB2312"/>
          <w:color w:val="000000" w:themeColor="text1"/>
          <w:sz w:val="28"/>
          <w:szCs w:val="28"/>
          <w14:textFill>
            <w14:solidFill>
              <w14:schemeClr w14:val="tx1"/>
            </w14:solidFill>
          </w14:textFill>
        </w:rPr>
        <w:t>之内将项目总结和经费</w:t>
      </w:r>
      <w:r>
        <w:rPr>
          <w:rFonts w:hint="eastAsia" w:ascii="Times New Roman" w:hAnsi="Times New Roman" w:eastAsia="仿宋_GB2312"/>
          <w:color w:val="000000" w:themeColor="text1"/>
          <w:sz w:val="28"/>
          <w:szCs w:val="28"/>
          <w14:textFill>
            <w14:solidFill>
              <w14:schemeClr w14:val="tx1"/>
            </w14:solidFill>
          </w14:textFill>
        </w:rPr>
        <w:t>决算表</w:t>
      </w:r>
      <w:r>
        <w:rPr>
          <w:rFonts w:ascii="Times New Roman" w:hAnsi="Times New Roman" w:eastAsia="仿宋_GB2312"/>
          <w:color w:val="000000" w:themeColor="text1"/>
          <w:sz w:val="28"/>
          <w:szCs w:val="28"/>
          <w14:textFill>
            <w14:solidFill>
              <w14:schemeClr w14:val="tx1"/>
            </w14:solidFill>
          </w14:textFill>
        </w:rPr>
        <w:t>提交国际合作局。</w:t>
      </w:r>
    </w:p>
    <w:p>
      <w:pPr>
        <w:pStyle w:val="33"/>
        <w:numPr>
          <w:ilvl w:val="0"/>
          <w:numId w:val="2"/>
        </w:numPr>
        <w:spacing w:before="156" w:beforeLines="50" w:after="156" w:afterLines="50" w:line="500" w:lineRule="exact"/>
        <w:ind w:firstLineChars="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未按期提交验收材料的项目负责人，两年内不得再申报特别交流计划。</w:t>
      </w:r>
    </w:p>
    <w:p>
      <w:pPr>
        <w:pStyle w:val="33"/>
        <w:numPr>
          <w:ilvl w:val="0"/>
          <w:numId w:val="2"/>
        </w:numPr>
        <w:adjustRightInd w:val="0"/>
        <w:snapToGrid w:val="0"/>
        <w:spacing w:before="156" w:beforeLines="50" w:after="156" w:afterLines="50" w:line="500" w:lineRule="exact"/>
        <w:ind w:firstLine="56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未通过验收的项目，国际合作局有权对未执行的预算经费做出核减或撤回处理；项目负责人两年内不得申报国际合作项目。</w:t>
      </w:r>
    </w:p>
    <w:p>
      <w:pPr>
        <w:adjustRightInd w:val="0"/>
        <w:snapToGrid w:val="0"/>
        <w:spacing w:before="156" w:beforeLines="50" w:after="156" w:afterLines="50" w:line="500" w:lineRule="exact"/>
        <w:jc w:val="center"/>
        <w:rPr>
          <w:rFonts w:eastAsia="黑体"/>
          <w:b/>
          <w:color w:val="000000" w:themeColor="text1"/>
          <w:sz w:val="28"/>
          <w:szCs w:val="28"/>
          <w14:textFill>
            <w14:solidFill>
              <w14:schemeClr w14:val="tx1"/>
            </w14:solidFill>
          </w14:textFill>
        </w:rPr>
      </w:pPr>
      <w:r>
        <w:rPr>
          <w:rFonts w:eastAsia="黑体"/>
          <w:b/>
          <w:color w:val="000000" w:themeColor="text1"/>
          <w:sz w:val="28"/>
          <w:szCs w:val="28"/>
          <w14:textFill>
            <w14:solidFill>
              <w14:schemeClr w14:val="tx1"/>
            </w14:solidFill>
          </w14:textFill>
        </w:rPr>
        <w:t>第七章</w:t>
      </w:r>
      <w:r>
        <w:rPr>
          <w:rFonts w:eastAsia="黑体"/>
          <w:b/>
          <w:color w:val="000000" w:themeColor="text1"/>
          <w:sz w:val="28"/>
          <w:szCs w:val="28"/>
          <w14:textFill>
            <w14:solidFill>
              <w14:schemeClr w14:val="tx1"/>
            </w14:solidFill>
          </w14:textFill>
        </w:rPr>
        <w:tab/>
      </w:r>
      <w:r>
        <w:rPr>
          <w:rFonts w:eastAsia="黑体"/>
          <w:b/>
          <w:color w:val="000000" w:themeColor="text1"/>
          <w:sz w:val="28"/>
          <w:szCs w:val="28"/>
          <w14:textFill>
            <w14:solidFill>
              <w14:schemeClr w14:val="tx1"/>
            </w14:solidFill>
          </w14:textFill>
        </w:rPr>
        <w:t>成果管理与宣传</w:t>
      </w:r>
    </w:p>
    <w:p>
      <w:pPr>
        <w:numPr>
          <w:ilvl w:val="0"/>
          <w:numId w:val="2"/>
        </w:numPr>
        <w:adjustRightInd w:val="0"/>
        <w:snapToGrid w:val="0"/>
        <w:spacing w:before="156" w:beforeLines="50" w:after="156" w:afterLines="50" w:line="500" w:lineRule="exact"/>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依托单位应</w:t>
      </w:r>
      <w:r>
        <w:rPr>
          <w:rFonts w:hint="eastAsia" w:eastAsia="仿宋_GB2312"/>
          <w:color w:val="000000" w:themeColor="text1"/>
          <w:sz w:val="28"/>
          <w:szCs w:val="28"/>
          <w14:textFill>
            <w14:solidFill>
              <w14:schemeClr w14:val="tx1"/>
            </w14:solidFill>
          </w14:textFill>
        </w:rPr>
        <w:t>适度</w:t>
      </w:r>
      <w:r>
        <w:rPr>
          <w:rFonts w:eastAsia="仿宋_GB2312"/>
          <w:color w:val="000000" w:themeColor="text1"/>
          <w:sz w:val="28"/>
          <w:szCs w:val="28"/>
          <w14:textFill>
            <w14:solidFill>
              <w14:schemeClr w14:val="tx1"/>
            </w14:solidFill>
          </w14:textFill>
        </w:rPr>
        <w:t>宣传项目成果，并注意收集和保存多媒体资料。</w:t>
      </w:r>
    </w:p>
    <w:p>
      <w:pPr>
        <w:adjustRightInd w:val="0"/>
        <w:snapToGrid w:val="0"/>
        <w:spacing w:before="156" w:beforeLines="50" w:after="156" w:afterLines="50" w:line="500" w:lineRule="exact"/>
        <w:jc w:val="center"/>
        <w:rPr>
          <w:rFonts w:eastAsia="黑体"/>
          <w:b/>
          <w:color w:val="000000" w:themeColor="text1"/>
          <w:sz w:val="28"/>
          <w:szCs w:val="28"/>
          <w14:textFill>
            <w14:solidFill>
              <w14:schemeClr w14:val="tx1"/>
            </w14:solidFill>
          </w14:textFill>
        </w:rPr>
      </w:pPr>
      <w:r>
        <w:rPr>
          <w:rFonts w:eastAsia="黑体"/>
          <w:b/>
          <w:color w:val="000000" w:themeColor="text1"/>
          <w:sz w:val="28"/>
          <w:szCs w:val="28"/>
          <w14:textFill>
            <w14:solidFill>
              <w14:schemeClr w14:val="tx1"/>
            </w14:solidFill>
          </w14:textFill>
        </w:rPr>
        <w:t>第八章</w:t>
      </w:r>
      <w:r>
        <w:rPr>
          <w:rFonts w:eastAsia="黑体"/>
          <w:b/>
          <w:color w:val="000000" w:themeColor="text1"/>
          <w:sz w:val="28"/>
          <w:szCs w:val="28"/>
          <w14:textFill>
            <w14:solidFill>
              <w14:schemeClr w14:val="tx1"/>
            </w14:solidFill>
          </w14:textFill>
        </w:rPr>
        <w:tab/>
      </w:r>
      <w:r>
        <w:rPr>
          <w:rFonts w:eastAsia="黑体"/>
          <w:b/>
          <w:color w:val="000000" w:themeColor="text1"/>
          <w:sz w:val="28"/>
          <w:szCs w:val="28"/>
          <w14:textFill>
            <w14:solidFill>
              <w14:schemeClr w14:val="tx1"/>
            </w14:solidFill>
          </w14:textFill>
        </w:rPr>
        <w:t>附则</w:t>
      </w:r>
    </w:p>
    <w:p>
      <w:pPr>
        <w:numPr>
          <w:ilvl w:val="0"/>
          <w:numId w:val="2"/>
        </w:numPr>
        <w:adjustRightInd w:val="0"/>
        <w:snapToGrid w:val="0"/>
        <w:spacing w:before="156" w:beforeLines="50" w:after="156" w:afterLines="50" w:line="500" w:lineRule="exact"/>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本办法由国际合作局负责解释。</w:t>
      </w:r>
    </w:p>
    <w:p>
      <w:pPr>
        <w:numPr>
          <w:ilvl w:val="0"/>
          <w:numId w:val="2"/>
        </w:numPr>
        <w:adjustRightInd w:val="0"/>
        <w:snapToGrid w:val="0"/>
        <w:spacing w:before="156" w:beforeLines="50" w:after="156" w:afterLines="50" w:line="500" w:lineRule="exact"/>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本办法自颁布之日起实施。原《中国科学院与俄乌白三国科技合作专项经费管理办法（暂行）》</w:t>
      </w:r>
      <w:r>
        <w:rPr>
          <w:rFonts w:hint="eastAsia" w:eastAsia="仿宋_GB2312"/>
          <w:color w:val="000000" w:themeColor="text1"/>
          <w:sz w:val="28"/>
          <w:szCs w:val="28"/>
          <w14:textFill>
            <w14:solidFill>
              <w14:schemeClr w14:val="tx1"/>
            </w14:solidFill>
          </w14:textFill>
        </w:rPr>
        <w:t>（际字〔2006〕10号）</w:t>
      </w:r>
      <w:r>
        <w:rPr>
          <w:rFonts w:eastAsia="仿宋_GB2312"/>
          <w:color w:val="000000" w:themeColor="text1"/>
          <w:sz w:val="28"/>
          <w:szCs w:val="28"/>
          <w14:textFill>
            <w14:solidFill>
              <w14:schemeClr w14:val="tx1"/>
            </w14:solidFill>
          </w14:textFill>
        </w:rPr>
        <w:t>同时废止。</w:t>
      </w:r>
    </w:p>
    <w:sectPr>
      <w:footerReference r:id="rId3" w:type="default"/>
      <w:pgSz w:w="11906" w:h="16838"/>
      <w:pgMar w:top="1440" w:right="1800" w:bottom="1440" w:left="180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4</w:t>
    </w:r>
    <w:r>
      <w:rPr>
        <w:lang w:val="zh-CN"/>
      </w:rP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930DCF"/>
    <w:multiLevelType w:val="multilevel"/>
    <w:tmpl w:val="40930DCF"/>
    <w:lvl w:ilvl="0" w:tentative="0">
      <w:start w:val="1"/>
      <w:numFmt w:val="upperRoman"/>
      <w:pStyle w:val="2"/>
      <w:lvlText w:val="第 %1 条"/>
      <w:lvlJc w:val="left"/>
      <w:rPr>
        <w:rFonts w:cs="Times New Roman"/>
      </w:rPr>
    </w:lvl>
    <w:lvl w:ilvl="1" w:tentative="0">
      <w:start w:val="1"/>
      <w:numFmt w:val="decimalZero"/>
      <w:pStyle w:val="3"/>
      <w:isLgl/>
      <w:lvlText w:val="节 %1.%2"/>
      <w:lvlJc w:val="left"/>
      <w:rPr>
        <w:rFonts w:cs="Times New Roman"/>
      </w:rPr>
    </w:lvl>
    <w:lvl w:ilvl="2" w:tentative="0">
      <w:start w:val="1"/>
      <w:numFmt w:val="lowerLetter"/>
      <w:pStyle w:val="4"/>
      <w:lvlText w:val="(%3)"/>
      <w:lvlJc w:val="left"/>
      <w:pPr>
        <w:ind w:left="720" w:hanging="432"/>
      </w:pPr>
      <w:rPr>
        <w:rFonts w:cs="Times New Roman"/>
      </w:rPr>
    </w:lvl>
    <w:lvl w:ilvl="3" w:tentative="0">
      <w:start w:val="1"/>
      <w:numFmt w:val="lowerRoman"/>
      <w:pStyle w:val="5"/>
      <w:lvlText w:val="(%4)"/>
      <w:lvlJc w:val="right"/>
      <w:pPr>
        <w:ind w:left="864" w:hanging="144"/>
      </w:pPr>
      <w:rPr>
        <w:rFonts w:cs="Times New Roman"/>
      </w:rPr>
    </w:lvl>
    <w:lvl w:ilvl="4" w:tentative="0">
      <w:start w:val="1"/>
      <w:numFmt w:val="decimal"/>
      <w:pStyle w:val="6"/>
      <w:lvlText w:val="%5)"/>
      <w:lvlJc w:val="left"/>
      <w:pPr>
        <w:ind w:left="1008" w:hanging="432"/>
      </w:pPr>
      <w:rPr>
        <w:rFonts w:cs="Times New Roman"/>
      </w:rPr>
    </w:lvl>
    <w:lvl w:ilvl="5" w:tentative="0">
      <w:start w:val="1"/>
      <w:numFmt w:val="lowerLetter"/>
      <w:pStyle w:val="7"/>
      <w:lvlText w:val="%6)"/>
      <w:lvlJc w:val="left"/>
      <w:pPr>
        <w:ind w:left="1152" w:hanging="432"/>
      </w:pPr>
      <w:rPr>
        <w:rFonts w:cs="Times New Roman"/>
      </w:rPr>
    </w:lvl>
    <w:lvl w:ilvl="6" w:tentative="0">
      <w:start w:val="1"/>
      <w:numFmt w:val="lowerRoman"/>
      <w:pStyle w:val="8"/>
      <w:lvlText w:val="%7)"/>
      <w:lvlJc w:val="right"/>
      <w:pPr>
        <w:ind w:left="1296" w:hanging="288"/>
      </w:pPr>
      <w:rPr>
        <w:rFonts w:cs="Times New Roman"/>
      </w:rPr>
    </w:lvl>
    <w:lvl w:ilvl="7" w:tentative="0">
      <w:start w:val="1"/>
      <w:numFmt w:val="lowerLetter"/>
      <w:pStyle w:val="9"/>
      <w:lvlText w:val="%8."/>
      <w:lvlJc w:val="left"/>
      <w:pPr>
        <w:ind w:left="1440" w:hanging="432"/>
      </w:pPr>
      <w:rPr>
        <w:rFonts w:cs="Times New Roman"/>
      </w:rPr>
    </w:lvl>
    <w:lvl w:ilvl="8" w:tentative="0">
      <w:start w:val="1"/>
      <w:numFmt w:val="lowerRoman"/>
      <w:pStyle w:val="10"/>
      <w:lvlText w:val="%9."/>
      <w:lvlJc w:val="right"/>
      <w:pPr>
        <w:ind w:left="1584" w:hanging="144"/>
      </w:pPr>
      <w:rPr>
        <w:rFonts w:cs="Times New Roman"/>
      </w:rPr>
    </w:lvl>
  </w:abstractNum>
  <w:abstractNum w:abstractNumId="1">
    <w:nsid w:val="44581B69"/>
    <w:multiLevelType w:val="multilevel"/>
    <w:tmpl w:val="44581B69"/>
    <w:lvl w:ilvl="0" w:tentative="0">
      <w:start w:val="1"/>
      <w:numFmt w:val="japaneseCounting"/>
      <w:lvlText w:val="第%1条"/>
      <w:lvlJc w:val="left"/>
      <w:pPr>
        <w:ind w:left="0" w:firstLine="568"/>
      </w:pPr>
      <w:rPr>
        <w:rFonts w:hint="default" w:eastAsia="黑体" w:cs="Times New Roman"/>
        <w:b/>
        <w:color w:val="auto"/>
        <w:lang w:val="en-US"/>
      </w:rPr>
    </w:lvl>
    <w:lvl w:ilvl="1" w:tentative="0">
      <w:start w:val="1"/>
      <w:numFmt w:val="japaneseCounting"/>
      <w:lvlText w:val="（%2）"/>
      <w:lvlJc w:val="left"/>
      <w:pPr>
        <w:ind w:left="1402" w:hanging="420"/>
      </w:pPr>
      <w:rPr>
        <w:rFonts w:hint="default"/>
        <w:b w:val="0"/>
      </w:rPr>
    </w:lvl>
    <w:lvl w:ilvl="2" w:tentative="0">
      <w:start w:val="1"/>
      <w:numFmt w:val="lowerRoman"/>
      <w:lvlText w:val="%3."/>
      <w:lvlJc w:val="right"/>
      <w:pPr>
        <w:ind w:left="1822" w:hanging="420"/>
      </w:pPr>
      <w:rPr>
        <w:rFonts w:cs="Times New Roman"/>
      </w:rPr>
    </w:lvl>
    <w:lvl w:ilvl="3" w:tentative="0">
      <w:start w:val="1"/>
      <w:numFmt w:val="decimal"/>
      <w:lvlText w:val="%4."/>
      <w:lvlJc w:val="left"/>
      <w:pPr>
        <w:ind w:left="2242" w:hanging="420"/>
      </w:pPr>
      <w:rPr>
        <w:rFonts w:cs="Times New Roman"/>
      </w:rPr>
    </w:lvl>
    <w:lvl w:ilvl="4" w:tentative="0">
      <w:start w:val="1"/>
      <w:numFmt w:val="lowerLetter"/>
      <w:lvlText w:val="%5)"/>
      <w:lvlJc w:val="left"/>
      <w:pPr>
        <w:ind w:left="2662" w:hanging="420"/>
      </w:pPr>
      <w:rPr>
        <w:rFonts w:cs="Times New Roman"/>
      </w:rPr>
    </w:lvl>
    <w:lvl w:ilvl="5" w:tentative="0">
      <w:start w:val="1"/>
      <w:numFmt w:val="lowerRoman"/>
      <w:lvlText w:val="%6."/>
      <w:lvlJc w:val="right"/>
      <w:pPr>
        <w:ind w:left="3082" w:hanging="420"/>
      </w:pPr>
      <w:rPr>
        <w:rFonts w:cs="Times New Roman"/>
      </w:rPr>
    </w:lvl>
    <w:lvl w:ilvl="6" w:tentative="0">
      <w:start w:val="1"/>
      <w:numFmt w:val="decimal"/>
      <w:lvlText w:val="%7."/>
      <w:lvlJc w:val="left"/>
      <w:pPr>
        <w:ind w:left="3502" w:hanging="420"/>
      </w:pPr>
      <w:rPr>
        <w:rFonts w:cs="Times New Roman"/>
      </w:rPr>
    </w:lvl>
    <w:lvl w:ilvl="7" w:tentative="0">
      <w:start w:val="1"/>
      <w:numFmt w:val="lowerLetter"/>
      <w:lvlText w:val="%8)"/>
      <w:lvlJc w:val="left"/>
      <w:pPr>
        <w:ind w:left="3922" w:hanging="420"/>
      </w:pPr>
      <w:rPr>
        <w:rFonts w:cs="Times New Roman"/>
      </w:rPr>
    </w:lvl>
    <w:lvl w:ilvl="8" w:tentative="0">
      <w:start w:val="1"/>
      <w:numFmt w:val="lowerRoman"/>
      <w:lvlText w:val="%9."/>
      <w:lvlJc w:val="right"/>
      <w:pPr>
        <w:ind w:left="4342"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BE4"/>
    <w:rsid w:val="00004C82"/>
    <w:rsid w:val="000063C7"/>
    <w:rsid w:val="00006B9C"/>
    <w:rsid w:val="0001407C"/>
    <w:rsid w:val="00014975"/>
    <w:rsid w:val="00023372"/>
    <w:rsid w:val="00026138"/>
    <w:rsid w:val="0002756B"/>
    <w:rsid w:val="00030997"/>
    <w:rsid w:val="00033B66"/>
    <w:rsid w:val="000372EB"/>
    <w:rsid w:val="00042225"/>
    <w:rsid w:val="00043196"/>
    <w:rsid w:val="000459EC"/>
    <w:rsid w:val="00046178"/>
    <w:rsid w:val="00051279"/>
    <w:rsid w:val="000534E7"/>
    <w:rsid w:val="00053C90"/>
    <w:rsid w:val="000565B3"/>
    <w:rsid w:val="00070E38"/>
    <w:rsid w:val="00074CDB"/>
    <w:rsid w:val="00075981"/>
    <w:rsid w:val="00075A6E"/>
    <w:rsid w:val="00076798"/>
    <w:rsid w:val="000771CA"/>
    <w:rsid w:val="00084C44"/>
    <w:rsid w:val="00085D9D"/>
    <w:rsid w:val="00087495"/>
    <w:rsid w:val="000911FC"/>
    <w:rsid w:val="0009187E"/>
    <w:rsid w:val="000A1642"/>
    <w:rsid w:val="000A1F21"/>
    <w:rsid w:val="000A2BE0"/>
    <w:rsid w:val="000A4285"/>
    <w:rsid w:val="000A78C1"/>
    <w:rsid w:val="000A7E8A"/>
    <w:rsid w:val="000B1E29"/>
    <w:rsid w:val="000B42E7"/>
    <w:rsid w:val="000B6C63"/>
    <w:rsid w:val="000C1761"/>
    <w:rsid w:val="000C1CEB"/>
    <w:rsid w:val="000D1E71"/>
    <w:rsid w:val="000D3440"/>
    <w:rsid w:val="000D34D1"/>
    <w:rsid w:val="000D61A2"/>
    <w:rsid w:val="000D788C"/>
    <w:rsid w:val="000E2E14"/>
    <w:rsid w:val="000E36AB"/>
    <w:rsid w:val="000E3E32"/>
    <w:rsid w:val="000E6326"/>
    <w:rsid w:val="000E7239"/>
    <w:rsid w:val="000F2D53"/>
    <w:rsid w:val="000F6295"/>
    <w:rsid w:val="00104A4B"/>
    <w:rsid w:val="00110800"/>
    <w:rsid w:val="0012536B"/>
    <w:rsid w:val="001276CF"/>
    <w:rsid w:val="001276D9"/>
    <w:rsid w:val="00130A4A"/>
    <w:rsid w:val="00131A76"/>
    <w:rsid w:val="00133A71"/>
    <w:rsid w:val="0013542B"/>
    <w:rsid w:val="00136098"/>
    <w:rsid w:val="00140441"/>
    <w:rsid w:val="00142E56"/>
    <w:rsid w:val="00144612"/>
    <w:rsid w:val="001462B7"/>
    <w:rsid w:val="00146360"/>
    <w:rsid w:val="00146462"/>
    <w:rsid w:val="00153869"/>
    <w:rsid w:val="00154E1A"/>
    <w:rsid w:val="0015548E"/>
    <w:rsid w:val="00156862"/>
    <w:rsid w:val="00165EC3"/>
    <w:rsid w:val="0017235D"/>
    <w:rsid w:val="00173A7E"/>
    <w:rsid w:val="001775A2"/>
    <w:rsid w:val="001777B9"/>
    <w:rsid w:val="001833F6"/>
    <w:rsid w:val="00185BDF"/>
    <w:rsid w:val="001871F2"/>
    <w:rsid w:val="00190263"/>
    <w:rsid w:val="00193917"/>
    <w:rsid w:val="00193C57"/>
    <w:rsid w:val="001942EA"/>
    <w:rsid w:val="00194811"/>
    <w:rsid w:val="001954B6"/>
    <w:rsid w:val="001A1C63"/>
    <w:rsid w:val="001A2D3D"/>
    <w:rsid w:val="001A338F"/>
    <w:rsid w:val="001A6177"/>
    <w:rsid w:val="001B2693"/>
    <w:rsid w:val="001B2F1E"/>
    <w:rsid w:val="001B30F4"/>
    <w:rsid w:val="001B3A5C"/>
    <w:rsid w:val="001B3F72"/>
    <w:rsid w:val="001B6BE6"/>
    <w:rsid w:val="001C1CEF"/>
    <w:rsid w:val="001C77B2"/>
    <w:rsid w:val="001D1BEA"/>
    <w:rsid w:val="001D2F73"/>
    <w:rsid w:val="001D57C8"/>
    <w:rsid w:val="001D76B1"/>
    <w:rsid w:val="001E2CB8"/>
    <w:rsid w:val="001E2E49"/>
    <w:rsid w:val="001E49D5"/>
    <w:rsid w:val="001E620D"/>
    <w:rsid w:val="001F6937"/>
    <w:rsid w:val="00200918"/>
    <w:rsid w:val="00211226"/>
    <w:rsid w:val="00211F32"/>
    <w:rsid w:val="002122E1"/>
    <w:rsid w:val="00216B8F"/>
    <w:rsid w:val="00221A13"/>
    <w:rsid w:val="00223A3B"/>
    <w:rsid w:val="002241A4"/>
    <w:rsid w:val="00225FBC"/>
    <w:rsid w:val="00230328"/>
    <w:rsid w:val="0023440B"/>
    <w:rsid w:val="00236DF2"/>
    <w:rsid w:val="00237945"/>
    <w:rsid w:val="002413BE"/>
    <w:rsid w:val="0024244F"/>
    <w:rsid w:val="0024557A"/>
    <w:rsid w:val="002456A9"/>
    <w:rsid w:val="00253021"/>
    <w:rsid w:val="00257648"/>
    <w:rsid w:val="002613B9"/>
    <w:rsid w:val="00263D81"/>
    <w:rsid w:val="00281B94"/>
    <w:rsid w:val="002842C9"/>
    <w:rsid w:val="00286BF5"/>
    <w:rsid w:val="002925D6"/>
    <w:rsid w:val="00292C49"/>
    <w:rsid w:val="0029484F"/>
    <w:rsid w:val="00295E70"/>
    <w:rsid w:val="00296FF9"/>
    <w:rsid w:val="002A0860"/>
    <w:rsid w:val="002A2B8E"/>
    <w:rsid w:val="002A4302"/>
    <w:rsid w:val="002A7106"/>
    <w:rsid w:val="002A7B0A"/>
    <w:rsid w:val="002B0A06"/>
    <w:rsid w:val="002B198A"/>
    <w:rsid w:val="002B7D8A"/>
    <w:rsid w:val="002C04D7"/>
    <w:rsid w:val="002C1E9C"/>
    <w:rsid w:val="002D49DB"/>
    <w:rsid w:val="002D4EE4"/>
    <w:rsid w:val="002D6553"/>
    <w:rsid w:val="002D6989"/>
    <w:rsid w:val="002E03D5"/>
    <w:rsid w:val="002E63A4"/>
    <w:rsid w:val="002F1152"/>
    <w:rsid w:val="002F6F13"/>
    <w:rsid w:val="002F75C3"/>
    <w:rsid w:val="00300558"/>
    <w:rsid w:val="003025A1"/>
    <w:rsid w:val="00310308"/>
    <w:rsid w:val="003157FA"/>
    <w:rsid w:val="00315B00"/>
    <w:rsid w:val="0031613C"/>
    <w:rsid w:val="00317B32"/>
    <w:rsid w:val="003207DF"/>
    <w:rsid w:val="0032470D"/>
    <w:rsid w:val="00327725"/>
    <w:rsid w:val="003336EA"/>
    <w:rsid w:val="00346721"/>
    <w:rsid w:val="003472C0"/>
    <w:rsid w:val="00350FE8"/>
    <w:rsid w:val="0035193C"/>
    <w:rsid w:val="00354CDB"/>
    <w:rsid w:val="00355706"/>
    <w:rsid w:val="003620A8"/>
    <w:rsid w:val="00362517"/>
    <w:rsid w:val="00363208"/>
    <w:rsid w:val="00364CE4"/>
    <w:rsid w:val="00372A2B"/>
    <w:rsid w:val="00373E95"/>
    <w:rsid w:val="003746C2"/>
    <w:rsid w:val="0037781B"/>
    <w:rsid w:val="00377B7A"/>
    <w:rsid w:val="00380F69"/>
    <w:rsid w:val="0038167A"/>
    <w:rsid w:val="00381F6F"/>
    <w:rsid w:val="00383A79"/>
    <w:rsid w:val="00384F7C"/>
    <w:rsid w:val="003853D3"/>
    <w:rsid w:val="0038575F"/>
    <w:rsid w:val="0038588C"/>
    <w:rsid w:val="0039067B"/>
    <w:rsid w:val="00390B59"/>
    <w:rsid w:val="00397D67"/>
    <w:rsid w:val="003A367D"/>
    <w:rsid w:val="003A4E53"/>
    <w:rsid w:val="003B01BA"/>
    <w:rsid w:val="003B0A30"/>
    <w:rsid w:val="003B2B9A"/>
    <w:rsid w:val="003B40B3"/>
    <w:rsid w:val="003B56D7"/>
    <w:rsid w:val="003C10BB"/>
    <w:rsid w:val="003C2A55"/>
    <w:rsid w:val="003C2FE3"/>
    <w:rsid w:val="003C3B88"/>
    <w:rsid w:val="003C4984"/>
    <w:rsid w:val="003C7B76"/>
    <w:rsid w:val="003D28FB"/>
    <w:rsid w:val="003D436F"/>
    <w:rsid w:val="003D778A"/>
    <w:rsid w:val="003E3645"/>
    <w:rsid w:val="003E385B"/>
    <w:rsid w:val="003E5023"/>
    <w:rsid w:val="003E6999"/>
    <w:rsid w:val="003F12F1"/>
    <w:rsid w:val="003F6000"/>
    <w:rsid w:val="00413D75"/>
    <w:rsid w:val="00415A9E"/>
    <w:rsid w:val="0041700D"/>
    <w:rsid w:val="004171E7"/>
    <w:rsid w:val="0041768F"/>
    <w:rsid w:val="0042639B"/>
    <w:rsid w:val="00430473"/>
    <w:rsid w:val="004313DA"/>
    <w:rsid w:val="00433281"/>
    <w:rsid w:val="004335E3"/>
    <w:rsid w:val="00435059"/>
    <w:rsid w:val="004360F4"/>
    <w:rsid w:val="004362F0"/>
    <w:rsid w:val="00437DA5"/>
    <w:rsid w:val="004416C5"/>
    <w:rsid w:val="00445A1A"/>
    <w:rsid w:val="00447354"/>
    <w:rsid w:val="00447F18"/>
    <w:rsid w:val="00461E39"/>
    <w:rsid w:val="004625C7"/>
    <w:rsid w:val="004648E5"/>
    <w:rsid w:val="0047324D"/>
    <w:rsid w:val="00474398"/>
    <w:rsid w:val="00484C7F"/>
    <w:rsid w:val="004854D3"/>
    <w:rsid w:val="00485D55"/>
    <w:rsid w:val="004924B8"/>
    <w:rsid w:val="0049392D"/>
    <w:rsid w:val="0049540E"/>
    <w:rsid w:val="00496492"/>
    <w:rsid w:val="004975D5"/>
    <w:rsid w:val="004977BE"/>
    <w:rsid w:val="004A1C60"/>
    <w:rsid w:val="004A306D"/>
    <w:rsid w:val="004A573D"/>
    <w:rsid w:val="004A59CF"/>
    <w:rsid w:val="004B1A22"/>
    <w:rsid w:val="004C51EB"/>
    <w:rsid w:val="004C528D"/>
    <w:rsid w:val="004C6107"/>
    <w:rsid w:val="004C6441"/>
    <w:rsid w:val="004C74A8"/>
    <w:rsid w:val="004E72FF"/>
    <w:rsid w:val="004F1BD9"/>
    <w:rsid w:val="004F567F"/>
    <w:rsid w:val="00500D5F"/>
    <w:rsid w:val="0050421F"/>
    <w:rsid w:val="00507E1D"/>
    <w:rsid w:val="00507F68"/>
    <w:rsid w:val="00514165"/>
    <w:rsid w:val="005143F1"/>
    <w:rsid w:val="0051752D"/>
    <w:rsid w:val="00520F7A"/>
    <w:rsid w:val="00524300"/>
    <w:rsid w:val="00530AB4"/>
    <w:rsid w:val="0053334D"/>
    <w:rsid w:val="0053599C"/>
    <w:rsid w:val="00543644"/>
    <w:rsid w:val="0054514F"/>
    <w:rsid w:val="005519DD"/>
    <w:rsid w:val="00551D8D"/>
    <w:rsid w:val="00552B4F"/>
    <w:rsid w:val="0057611A"/>
    <w:rsid w:val="005768BE"/>
    <w:rsid w:val="00581C3C"/>
    <w:rsid w:val="00582455"/>
    <w:rsid w:val="00582F38"/>
    <w:rsid w:val="00584432"/>
    <w:rsid w:val="00585A04"/>
    <w:rsid w:val="00587195"/>
    <w:rsid w:val="00592C68"/>
    <w:rsid w:val="00592DEC"/>
    <w:rsid w:val="00593895"/>
    <w:rsid w:val="00593E67"/>
    <w:rsid w:val="00595774"/>
    <w:rsid w:val="00595EF4"/>
    <w:rsid w:val="005A51D8"/>
    <w:rsid w:val="005B631A"/>
    <w:rsid w:val="005B680B"/>
    <w:rsid w:val="005B6E59"/>
    <w:rsid w:val="005B6E64"/>
    <w:rsid w:val="005B778E"/>
    <w:rsid w:val="005C0040"/>
    <w:rsid w:val="005C1896"/>
    <w:rsid w:val="005C42B9"/>
    <w:rsid w:val="005C44EA"/>
    <w:rsid w:val="005C5E58"/>
    <w:rsid w:val="005D0727"/>
    <w:rsid w:val="005D4C88"/>
    <w:rsid w:val="005D4D1F"/>
    <w:rsid w:val="005E06CB"/>
    <w:rsid w:val="005E1206"/>
    <w:rsid w:val="005E2C93"/>
    <w:rsid w:val="005E3437"/>
    <w:rsid w:val="005E41C3"/>
    <w:rsid w:val="005E644F"/>
    <w:rsid w:val="005F0D90"/>
    <w:rsid w:val="005F0EF9"/>
    <w:rsid w:val="005F30F3"/>
    <w:rsid w:val="005F552E"/>
    <w:rsid w:val="005F673E"/>
    <w:rsid w:val="00600FC4"/>
    <w:rsid w:val="00601D6F"/>
    <w:rsid w:val="00603F0F"/>
    <w:rsid w:val="0060423B"/>
    <w:rsid w:val="00604AD3"/>
    <w:rsid w:val="00605AE6"/>
    <w:rsid w:val="00610FF8"/>
    <w:rsid w:val="00611C7A"/>
    <w:rsid w:val="00611CEF"/>
    <w:rsid w:val="0062067B"/>
    <w:rsid w:val="00621017"/>
    <w:rsid w:val="00624C70"/>
    <w:rsid w:val="00625042"/>
    <w:rsid w:val="00626E2C"/>
    <w:rsid w:val="00627656"/>
    <w:rsid w:val="00634C55"/>
    <w:rsid w:val="006405C7"/>
    <w:rsid w:val="00641C5D"/>
    <w:rsid w:val="00642B6E"/>
    <w:rsid w:val="00652121"/>
    <w:rsid w:val="0065784F"/>
    <w:rsid w:val="006645CF"/>
    <w:rsid w:val="00664D92"/>
    <w:rsid w:val="00666C1A"/>
    <w:rsid w:val="00671303"/>
    <w:rsid w:val="00673BA8"/>
    <w:rsid w:val="006754F8"/>
    <w:rsid w:val="00675DE5"/>
    <w:rsid w:val="00677981"/>
    <w:rsid w:val="00682C01"/>
    <w:rsid w:val="00687F8B"/>
    <w:rsid w:val="00690C9A"/>
    <w:rsid w:val="00692A01"/>
    <w:rsid w:val="00692E20"/>
    <w:rsid w:val="00693B53"/>
    <w:rsid w:val="0069534D"/>
    <w:rsid w:val="00696BF0"/>
    <w:rsid w:val="00696BF7"/>
    <w:rsid w:val="006A4CFC"/>
    <w:rsid w:val="006A733F"/>
    <w:rsid w:val="006B2712"/>
    <w:rsid w:val="006B4277"/>
    <w:rsid w:val="006C4C15"/>
    <w:rsid w:val="006C4D40"/>
    <w:rsid w:val="006C5610"/>
    <w:rsid w:val="006D0CD9"/>
    <w:rsid w:val="006D1BE7"/>
    <w:rsid w:val="006D68C3"/>
    <w:rsid w:val="006D7C01"/>
    <w:rsid w:val="006E684C"/>
    <w:rsid w:val="006E6C8D"/>
    <w:rsid w:val="006E776C"/>
    <w:rsid w:val="0070123F"/>
    <w:rsid w:val="00705814"/>
    <w:rsid w:val="007135D0"/>
    <w:rsid w:val="007152AC"/>
    <w:rsid w:val="007213D4"/>
    <w:rsid w:val="00722418"/>
    <w:rsid w:val="00724DA4"/>
    <w:rsid w:val="0073287E"/>
    <w:rsid w:val="00733B68"/>
    <w:rsid w:val="00734A2E"/>
    <w:rsid w:val="007351D7"/>
    <w:rsid w:val="00735995"/>
    <w:rsid w:val="007363FA"/>
    <w:rsid w:val="00736D0E"/>
    <w:rsid w:val="007448FA"/>
    <w:rsid w:val="007450FA"/>
    <w:rsid w:val="0074797C"/>
    <w:rsid w:val="00753C9B"/>
    <w:rsid w:val="00754C46"/>
    <w:rsid w:val="00757053"/>
    <w:rsid w:val="007574A0"/>
    <w:rsid w:val="00761AAF"/>
    <w:rsid w:val="00762E6A"/>
    <w:rsid w:val="007637BC"/>
    <w:rsid w:val="007753C8"/>
    <w:rsid w:val="00776922"/>
    <w:rsid w:val="00777B90"/>
    <w:rsid w:val="00784F30"/>
    <w:rsid w:val="0078635C"/>
    <w:rsid w:val="007879F8"/>
    <w:rsid w:val="00793FC6"/>
    <w:rsid w:val="007945E4"/>
    <w:rsid w:val="0079550D"/>
    <w:rsid w:val="007A11DF"/>
    <w:rsid w:val="007A2829"/>
    <w:rsid w:val="007A3C65"/>
    <w:rsid w:val="007A5073"/>
    <w:rsid w:val="007A5979"/>
    <w:rsid w:val="007A72C1"/>
    <w:rsid w:val="007B1D69"/>
    <w:rsid w:val="007B74E6"/>
    <w:rsid w:val="007C01BD"/>
    <w:rsid w:val="007C2219"/>
    <w:rsid w:val="007C285F"/>
    <w:rsid w:val="007D0746"/>
    <w:rsid w:val="007D1FA0"/>
    <w:rsid w:val="007D3815"/>
    <w:rsid w:val="007D41A0"/>
    <w:rsid w:val="007D6F5D"/>
    <w:rsid w:val="007E1592"/>
    <w:rsid w:val="007E226C"/>
    <w:rsid w:val="007E259B"/>
    <w:rsid w:val="007E5262"/>
    <w:rsid w:val="007F0A4C"/>
    <w:rsid w:val="007F185F"/>
    <w:rsid w:val="007F1D88"/>
    <w:rsid w:val="007F3B6C"/>
    <w:rsid w:val="007F4FA6"/>
    <w:rsid w:val="007F738F"/>
    <w:rsid w:val="008033C3"/>
    <w:rsid w:val="00803BE4"/>
    <w:rsid w:val="00814949"/>
    <w:rsid w:val="00821D71"/>
    <w:rsid w:val="0082246C"/>
    <w:rsid w:val="008236FB"/>
    <w:rsid w:val="008272F1"/>
    <w:rsid w:val="0082786E"/>
    <w:rsid w:val="00827888"/>
    <w:rsid w:val="00827A73"/>
    <w:rsid w:val="00831397"/>
    <w:rsid w:val="00831FEB"/>
    <w:rsid w:val="0083541B"/>
    <w:rsid w:val="008414F1"/>
    <w:rsid w:val="008419D4"/>
    <w:rsid w:val="008419FA"/>
    <w:rsid w:val="00846AD8"/>
    <w:rsid w:val="00847034"/>
    <w:rsid w:val="008506F7"/>
    <w:rsid w:val="00852CD8"/>
    <w:rsid w:val="00853599"/>
    <w:rsid w:val="008659D4"/>
    <w:rsid w:val="00865E1D"/>
    <w:rsid w:val="008730CC"/>
    <w:rsid w:val="008744CD"/>
    <w:rsid w:val="00877023"/>
    <w:rsid w:val="00882DB1"/>
    <w:rsid w:val="00885B3B"/>
    <w:rsid w:val="00890592"/>
    <w:rsid w:val="00891E0A"/>
    <w:rsid w:val="008931BA"/>
    <w:rsid w:val="008946FC"/>
    <w:rsid w:val="0089516E"/>
    <w:rsid w:val="00895695"/>
    <w:rsid w:val="008A11A3"/>
    <w:rsid w:val="008A7628"/>
    <w:rsid w:val="008B30E4"/>
    <w:rsid w:val="008B7C2D"/>
    <w:rsid w:val="008B7EA1"/>
    <w:rsid w:val="008C3C97"/>
    <w:rsid w:val="008C4A56"/>
    <w:rsid w:val="008C5B40"/>
    <w:rsid w:val="008D5313"/>
    <w:rsid w:val="008D689E"/>
    <w:rsid w:val="008E0050"/>
    <w:rsid w:val="008E0BA1"/>
    <w:rsid w:val="008E158A"/>
    <w:rsid w:val="008E3CA0"/>
    <w:rsid w:val="008F2724"/>
    <w:rsid w:val="009012A2"/>
    <w:rsid w:val="00905D9C"/>
    <w:rsid w:val="009063D0"/>
    <w:rsid w:val="009127D5"/>
    <w:rsid w:val="00916670"/>
    <w:rsid w:val="00916C09"/>
    <w:rsid w:val="00924203"/>
    <w:rsid w:val="00927122"/>
    <w:rsid w:val="009325EA"/>
    <w:rsid w:val="00932612"/>
    <w:rsid w:val="009364E9"/>
    <w:rsid w:val="0094390C"/>
    <w:rsid w:val="00946854"/>
    <w:rsid w:val="00946916"/>
    <w:rsid w:val="009568BA"/>
    <w:rsid w:val="00962543"/>
    <w:rsid w:val="0096375D"/>
    <w:rsid w:val="009642F9"/>
    <w:rsid w:val="009644E1"/>
    <w:rsid w:val="009664B8"/>
    <w:rsid w:val="009804CA"/>
    <w:rsid w:val="00980A44"/>
    <w:rsid w:val="009833E2"/>
    <w:rsid w:val="009854C2"/>
    <w:rsid w:val="00985DD6"/>
    <w:rsid w:val="00992939"/>
    <w:rsid w:val="00996246"/>
    <w:rsid w:val="009969E2"/>
    <w:rsid w:val="00997228"/>
    <w:rsid w:val="00997580"/>
    <w:rsid w:val="00997B72"/>
    <w:rsid w:val="009A174B"/>
    <w:rsid w:val="009A2271"/>
    <w:rsid w:val="009A5AAD"/>
    <w:rsid w:val="009B0373"/>
    <w:rsid w:val="009B1A71"/>
    <w:rsid w:val="009B1C1D"/>
    <w:rsid w:val="009C0AA9"/>
    <w:rsid w:val="009C443D"/>
    <w:rsid w:val="009C661B"/>
    <w:rsid w:val="009C76A2"/>
    <w:rsid w:val="009D3052"/>
    <w:rsid w:val="009D4A83"/>
    <w:rsid w:val="009D5F94"/>
    <w:rsid w:val="009D6A50"/>
    <w:rsid w:val="009E040A"/>
    <w:rsid w:val="009E057A"/>
    <w:rsid w:val="009E3A5E"/>
    <w:rsid w:val="009E3EA5"/>
    <w:rsid w:val="009E68BF"/>
    <w:rsid w:val="009F0C85"/>
    <w:rsid w:val="009F170B"/>
    <w:rsid w:val="00A03BE6"/>
    <w:rsid w:val="00A04359"/>
    <w:rsid w:val="00A1015C"/>
    <w:rsid w:val="00A1036C"/>
    <w:rsid w:val="00A10840"/>
    <w:rsid w:val="00A10B13"/>
    <w:rsid w:val="00A118A7"/>
    <w:rsid w:val="00A12A6B"/>
    <w:rsid w:val="00A14093"/>
    <w:rsid w:val="00A16151"/>
    <w:rsid w:val="00A173FE"/>
    <w:rsid w:val="00A202A7"/>
    <w:rsid w:val="00A234CC"/>
    <w:rsid w:val="00A25169"/>
    <w:rsid w:val="00A30283"/>
    <w:rsid w:val="00A31B89"/>
    <w:rsid w:val="00A33EE6"/>
    <w:rsid w:val="00A34653"/>
    <w:rsid w:val="00A35DC8"/>
    <w:rsid w:val="00A37720"/>
    <w:rsid w:val="00A43E0C"/>
    <w:rsid w:val="00A44176"/>
    <w:rsid w:val="00A51C74"/>
    <w:rsid w:val="00A55C33"/>
    <w:rsid w:val="00A569CB"/>
    <w:rsid w:val="00A57F4F"/>
    <w:rsid w:val="00A629B9"/>
    <w:rsid w:val="00A64774"/>
    <w:rsid w:val="00A65935"/>
    <w:rsid w:val="00A65BE6"/>
    <w:rsid w:val="00A65F3C"/>
    <w:rsid w:val="00A7314F"/>
    <w:rsid w:val="00A82765"/>
    <w:rsid w:val="00A84A1A"/>
    <w:rsid w:val="00A92C3D"/>
    <w:rsid w:val="00A93A54"/>
    <w:rsid w:val="00A95899"/>
    <w:rsid w:val="00AA2D80"/>
    <w:rsid w:val="00AA61FD"/>
    <w:rsid w:val="00AA7D95"/>
    <w:rsid w:val="00AB448C"/>
    <w:rsid w:val="00AB4975"/>
    <w:rsid w:val="00AB57FB"/>
    <w:rsid w:val="00AB775C"/>
    <w:rsid w:val="00AC048A"/>
    <w:rsid w:val="00AC2679"/>
    <w:rsid w:val="00AC2D47"/>
    <w:rsid w:val="00AC4B9E"/>
    <w:rsid w:val="00AC4EE6"/>
    <w:rsid w:val="00AC6C69"/>
    <w:rsid w:val="00AD1750"/>
    <w:rsid w:val="00AD7775"/>
    <w:rsid w:val="00AE0DDB"/>
    <w:rsid w:val="00AE16BB"/>
    <w:rsid w:val="00AE5155"/>
    <w:rsid w:val="00AE52B5"/>
    <w:rsid w:val="00AF1785"/>
    <w:rsid w:val="00AF1BCC"/>
    <w:rsid w:val="00B02476"/>
    <w:rsid w:val="00B10A03"/>
    <w:rsid w:val="00B14738"/>
    <w:rsid w:val="00B2186F"/>
    <w:rsid w:val="00B24447"/>
    <w:rsid w:val="00B2596B"/>
    <w:rsid w:val="00B26BC0"/>
    <w:rsid w:val="00B31CAF"/>
    <w:rsid w:val="00B32B40"/>
    <w:rsid w:val="00B355A1"/>
    <w:rsid w:val="00B42E17"/>
    <w:rsid w:val="00B43F0A"/>
    <w:rsid w:val="00B4711A"/>
    <w:rsid w:val="00B52FB2"/>
    <w:rsid w:val="00B53775"/>
    <w:rsid w:val="00B54B7B"/>
    <w:rsid w:val="00B54EAC"/>
    <w:rsid w:val="00B56FB9"/>
    <w:rsid w:val="00B57130"/>
    <w:rsid w:val="00B57315"/>
    <w:rsid w:val="00B57329"/>
    <w:rsid w:val="00B65BA1"/>
    <w:rsid w:val="00B81BA4"/>
    <w:rsid w:val="00B87A64"/>
    <w:rsid w:val="00B9171F"/>
    <w:rsid w:val="00B91CE6"/>
    <w:rsid w:val="00B9328F"/>
    <w:rsid w:val="00B94057"/>
    <w:rsid w:val="00B949AE"/>
    <w:rsid w:val="00B94BF4"/>
    <w:rsid w:val="00B96DFB"/>
    <w:rsid w:val="00B971E1"/>
    <w:rsid w:val="00BA616F"/>
    <w:rsid w:val="00BB15E7"/>
    <w:rsid w:val="00BB191C"/>
    <w:rsid w:val="00BB4D77"/>
    <w:rsid w:val="00BB6E8B"/>
    <w:rsid w:val="00BC65D5"/>
    <w:rsid w:val="00BE5C5F"/>
    <w:rsid w:val="00BE66A4"/>
    <w:rsid w:val="00BF2B85"/>
    <w:rsid w:val="00BF4652"/>
    <w:rsid w:val="00BF4D19"/>
    <w:rsid w:val="00BF69A9"/>
    <w:rsid w:val="00BF7CDF"/>
    <w:rsid w:val="00C01CF4"/>
    <w:rsid w:val="00C040F3"/>
    <w:rsid w:val="00C066F9"/>
    <w:rsid w:val="00C073A9"/>
    <w:rsid w:val="00C13105"/>
    <w:rsid w:val="00C206E0"/>
    <w:rsid w:val="00C21478"/>
    <w:rsid w:val="00C232CD"/>
    <w:rsid w:val="00C23A14"/>
    <w:rsid w:val="00C27FE1"/>
    <w:rsid w:val="00C315D4"/>
    <w:rsid w:val="00C3409D"/>
    <w:rsid w:val="00C35927"/>
    <w:rsid w:val="00C42E0D"/>
    <w:rsid w:val="00C525E4"/>
    <w:rsid w:val="00C579E6"/>
    <w:rsid w:val="00C63000"/>
    <w:rsid w:val="00C65E81"/>
    <w:rsid w:val="00C72B34"/>
    <w:rsid w:val="00C73FA7"/>
    <w:rsid w:val="00C7559A"/>
    <w:rsid w:val="00C76C26"/>
    <w:rsid w:val="00C77D58"/>
    <w:rsid w:val="00C8111D"/>
    <w:rsid w:val="00C81673"/>
    <w:rsid w:val="00C825A4"/>
    <w:rsid w:val="00C83839"/>
    <w:rsid w:val="00C9101B"/>
    <w:rsid w:val="00C92939"/>
    <w:rsid w:val="00CA1EC8"/>
    <w:rsid w:val="00CA3641"/>
    <w:rsid w:val="00CA4C3C"/>
    <w:rsid w:val="00CA50FE"/>
    <w:rsid w:val="00CB48F1"/>
    <w:rsid w:val="00CB549E"/>
    <w:rsid w:val="00CB598D"/>
    <w:rsid w:val="00CC1304"/>
    <w:rsid w:val="00CC1477"/>
    <w:rsid w:val="00CC32FF"/>
    <w:rsid w:val="00CC3591"/>
    <w:rsid w:val="00CC57AE"/>
    <w:rsid w:val="00CD052C"/>
    <w:rsid w:val="00CD4587"/>
    <w:rsid w:val="00CD59E5"/>
    <w:rsid w:val="00CD6BC2"/>
    <w:rsid w:val="00CE1293"/>
    <w:rsid w:val="00CE4CC5"/>
    <w:rsid w:val="00CE6357"/>
    <w:rsid w:val="00CF12DF"/>
    <w:rsid w:val="00CF3E3E"/>
    <w:rsid w:val="00CF3F6D"/>
    <w:rsid w:val="00CF51DF"/>
    <w:rsid w:val="00D02510"/>
    <w:rsid w:val="00D07794"/>
    <w:rsid w:val="00D14425"/>
    <w:rsid w:val="00D145A2"/>
    <w:rsid w:val="00D22E96"/>
    <w:rsid w:val="00D232C6"/>
    <w:rsid w:val="00D24FC6"/>
    <w:rsid w:val="00D3013E"/>
    <w:rsid w:val="00D30318"/>
    <w:rsid w:val="00D30B95"/>
    <w:rsid w:val="00D310C8"/>
    <w:rsid w:val="00D3188E"/>
    <w:rsid w:val="00D323A1"/>
    <w:rsid w:val="00D3423C"/>
    <w:rsid w:val="00D449AD"/>
    <w:rsid w:val="00D454E7"/>
    <w:rsid w:val="00D476B8"/>
    <w:rsid w:val="00D476C2"/>
    <w:rsid w:val="00D507B3"/>
    <w:rsid w:val="00D52D6B"/>
    <w:rsid w:val="00D53BFC"/>
    <w:rsid w:val="00D61848"/>
    <w:rsid w:val="00D6297F"/>
    <w:rsid w:val="00D62F42"/>
    <w:rsid w:val="00D632AB"/>
    <w:rsid w:val="00D64E5D"/>
    <w:rsid w:val="00D665A6"/>
    <w:rsid w:val="00D67AB2"/>
    <w:rsid w:val="00D75172"/>
    <w:rsid w:val="00D75720"/>
    <w:rsid w:val="00D7672C"/>
    <w:rsid w:val="00D76DA8"/>
    <w:rsid w:val="00D77FC4"/>
    <w:rsid w:val="00D804FD"/>
    <w:rsid w:val="00D91CDD"/>
    <w:rsid w:val="00D95C90"/>
    <w:rsid w:val="00D97C03"/>
    <w:rsid w:val="00DA3C9F"/>
    <w:rsid w:val="00DB18C2"/>
    <w:rsid w:val="00DB3E3C"/>
    <w:rsid w:val="00DC7204"/>
    <w:rsid w:val="00DC7AAF"/>
    <w:rsid w:val="00DD5B88"/>
    <w:rsid w:val="00DD6B90"/>
    <w:rsid w:val="00DE04E7"/>
    <w:rsid w:val="00DE121C"/>
    <w:rsid w:val="00DE22BE"/>
    <w:rsid w:val="00DE30C3"/>
    <w:rsid w:val="00DE6E43"/>
    <w:rsid w:val="00DF12FE"/>
    <w:rsid w:val="00DF59B8"/>
    <w:rsid w:val="00DF63A2"/>
    <w:rsid w:val="00DF6E6C"/>
    <w:rsid w:val="00DF7680"/>
    <w:rsid w:val="00E045FD"/>
    <w:rsid w:val="00E1040C"/>
    <w:rsid w:val="00E11797"/>
    <w:rsid w:val="00E17A1C"/>
    <w:rsid w:val="00E17BC6"/>
    <w:rsid w:val="00E2055B"/>
    <w:rsid w:val="00E23D73"/>
    <w:rsid w:val="00E253EA"/>
    <w:rsid w:val="00E34638"/>
    <w:rsid w:val="00E352D3"/>
    <w:rsid w:val="00E453FE"/>
    <w:rsid w:val="00E46726"/>
    <w:rsid w:val="00E5119E"/>
    <w:rsid w:val="00E54584"/>
    <w:rsid w:val="00E5562E"/>
    <w:rsid w:val="00E6384E"/>
    <w:rsid w:val="00E63972"/>
    <w:rsid w:val="00E6653D"/>
    <w:rsid w:val="00E67BCD"/>
    <w:rsid w:val="00E70485"/>
    <w:rsid w:val="00E72544"/>
    <w:rsid w:val="00E72FF9"/>
    <w:rsid w:val="00E763DA"/>
    <w:rsid w:val="00E8570D"/>
    <w:rsid w:val="00E858DF"/>
    <w:rsid w:val="00E858F6"/>
    <w:rsid w:val="00E86838"/>
    <w:rsid w:val="00E90B8F"/>
    <w:rsid w:val="00E93002"/>
    <w:rsid w:val="00E93637"/>
    <w:rsid w:val="00E95753"/>
    <w:rsid w:val="00E959C6"/>
    <w:rsid w:val="00E97536"/>
    <w:rsid w:val="00EA146F"/>
    <w:rsid w:val="00EA19CD"/>
    <w:rsid w:val="00EA3036"/>
    <w:rsid w:val="00EA3BE9"/>
    <w:rsid w:val="00EA4EF4"/>
    <w:rsid w:val="00EB17F3"/>
    <w:rsid w:val="00EB253C"/>
    <w:rsid w:val="00EB3AC1"/>
    <w:rsid w:val="00EB65F0"/>
    <w:rsid w:val="00EB6E13"/>
    <w:rsid w:val="00EC0527"/>
    <w:rsid w:val="00EC29B4"/>
    <w:rsid w:val="00EC532F"/>
    <w:rsid w:val="00ED0919"/>
    <w:rsid w:val="00EE2CD7"/>
    <w:rsid w:val="00EE41F3"/>
    <w:rsid w:val="00EE6867"/>
    <w:rsid w:val="00EF1D50"/>
    <w:rsid w:val="00EF4CC2"/>
    <w:rsid w:val="00EF6DBC"/>
    <w:rsid w:val="00F0274D"/>
    <w:rsid w:val="00F034B7"/>
    <w:rsid w:val="00F04C1C"/>
    <w:rsid w:val="00F05FFE"/>
    <w:rsid w:val="00F07F4F"/>
    <w:rsid w:val="00F17007"/>
    <w:rsid w:val="00F21636"/>
    <w:rsid w:val="00F22867"/>
    <w:rsid w:val="00F316B9"/>
    <w:rsid w:val="00F32750"/>
    <w:rsid w:val="00F36389"/>
    <w:rsid w:val="00F479AF"/>
    <w:rsid w:val="00F50148"/>
    <w:rsid w:val="00F5549D"/>
    <w:rsid w:val="00F55B04"/>
    <w:rsid w:val="00F55E5F"/>
    <w:rsid w:val="00F57B5F"/>
    <w:rsid w:val="00F607DC"/>
    <w:rsid w:val="00F62C29"/>
    <w:rsid w:val="00F6454E"/>
    <w:rsid w:val="00F666CB"/>
    <w:rsid w:val="00F678C6"/>
    <w:rsid w:val="00F70487"/>
    <w:rsid w:val="00F72DA0"/>
    <w:rsid w:val="00F73BC1"/>
    <w:rsid w:val="00F77A53"/>
    <w:rsid w:val="00F82033"/>
    <w:rsid w:val="00F86DC4"/>
    <w:rsid w:val="00F87C46"/>
    <w:rsid w:val="00F91879"/>
    <w:rsid w:val="00F954B3"/>
    <w:rsid w:val="00F95DB4"/>
    <w:rsid w:val="00FA5B63"/>
    <w:rsid w:val="00FB2BA3"/>
    <w:rsid w:val="00FB36EE"/>
    <w:rsid w:val="00FB61D1"/>
    <w:rsid w:val="00FC091A"/>
    <w:rsid w:val="00FC0E6D"/>
    <w:rsid w:val="00FC1038"/>
    <w:rsid w:val="00FC2CC6"/>
    <w:rsid w:val="00FD0E32"/>
    <w:rsid w:val="00FD2835"/>
    <w:rsid w:val="00FD2E9B"/>
    <w:rsid w:val="00FD300E"/>
    <w:rsid w:val="00FE1639"/>
    <w:rsid w:val="00FE345D"/>
    <w:rsid w:val="00FE3B68"/>
    <w:rsid w:val="00FE3D5D"/>
    <w:rsid w:val="00FE4394"/>
    <w:rsid w:val="00FE4CBD"/>
    <w:rsid w:val="00FE51B1"/>
    <w:rsid w:val="00FE627A"/>
    <w:rsid w:val="00FE69C4"/>
    <w:rsid w:val="00FE6E34"/>
    <w:rsid w:val="00FF05DB"/>
    <w:rsid w:val="00FF4A8E"/>
    <w:rsid w:val="00FF4F0A"/>
    <w:rsid w:val="00FF4FC0"/>
    <w:rsid w:val="00FF5458"/>
    <w:rsid w:val="06F35A8A"/>
    <w:rsid w:val="16CC1AB7"/>
    <w:rsid w:val="79FD3D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nhideWhenUsed="0" w:uiPriority="99" w:semiHidden="0" w:name="heading 7" w:locked="1"/>
    <w:lsdException w:qFormat="1" w:unhideWhenUsed="0" w:uiPriority="99" w:semiHidden="0" w:name="heading 8" w:locked="1"/>
    <w:lsdException w:qFormat="1" w:unhideWhenUsed="0" w:uiPriority="99" w:semiHidden="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locked/>
    <w:uiPriority w:val="9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22"/>
    <w:qFormat/>
    <w:locked/>
    <w:uiPriority w:val="99"/>
    <w:pPr>
      <w:keepNext/>
      <w:keepLines/>
      <w:numPr>
        <w:ilvl w:val="1"/>
        <w:numId w:val="1"/>
      </w:numPr>
      <w:spacing w:before="260" w:after="260" w:line="416" w:lineRule="auto"/>
      <w:outlineLvl w:val="1"/>
    </w:pPr>
    <w:rPr>
      <w:rFonts w:ascii="Cambria" w:hAnsi="Cambria"/>
      <w:b/>
      <w:bCs/>
      <w:sz w:val="32"/>
      <w:szCs w:val="32"/>
    </w:rPr>
  </w:style>
  <w:style w:type="paragraph" w:styleId="4">
    <w:name w:val="heading 3"/>
    <w:basedOn w:val="1"/>
    <w:next w:val="1"/>
    <w:link w:val="23"/>
    <w:qFormat/>
    <w:locked/>
    <w:uiPriority w:val="9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24"/>
    <w:qFormat/>
    <w:locked/>
    <w:uiPriority w:val="99"/>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25"/>
    <w:qFormat/>
    <w:locked/>
    <w:uiPriority w:val="9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26"/>
    <w:qFormat/>
    <w:locked/>
    <w:uiPriority w:val="99"/>
    <w:pPr>
      <w:keepNext/>
      <w:keepLines/>
      <w:numPr>
        <w:ilvl w:val="5"/>
        <w:numId w:val="1"/>
      </w:numPr>
      <w:spacing w:before="240" w:after="64" w:line="320" w:lineRule="auto"/>
      <w:outlineLvl w:val="5"/>
    </w:pPr>
    <w:rPr>
      <w:rFonts w:ascii="Cambria" w:hAnsi="Cambria"/>
      <w:b/>
      <w:bCs/>
      <w:sz w:val="24"/>
    </w:rPr>
  </w:style>
  <w:style w:type="paragraph" w:styleId="8">
    <w:name w:val="heading 7"/>
    <w:basedOn w:val="1"/>
    <w:next w:val="1"/>
    <w:link w:val="27"/>
    <w:qFormat/>
    <w:locked/>
    <w:uiPriority w:val="99"/>
    <w:pPr>
      <w:keepNext/>
      <w:keepLines/>
      <w:numPr>
        <w:ilvl w:val="6"/>
        <w:numId w:val="1"/>
      </w:numPr>
      <w:spacing w:before="240" w:after="64" w:line="320" w:lineRule="auto"/>
      <w:outlineLvl w:val="6"/>
    </w:pPr>
    <w:rPr>
      <w:b/>
      <w:bCs/>
      <w:sz w:val="24"/>
    </w:rPr>
  </w:style>
  <w:style w:type="paragraph" w:styleId="9">
    <w:name w:val="heading 8"/>
    <w:basedOn w:val="1"/>
    <w:next w:val="1"/>
    <w:link w:val="28"/>
    <w:qFormat/>
    <w:locked/>
    <w:uiPriority w:val="99"/>
    <w:pPr>
      <w:keepNext/>
      <w:keepLines/>
      <w:numPr>
        <w:ilvl w:val="7"/>
        <w:numId w:val="1"/>
      </w:numPr>
      <w:spacing w:before="240" w:after="64" w:line="320" w:lineRule="auto"/>
      <w:outlineLvl w:val="7"/>
    </w:pPr>
    <w:rPr>
      <w:rFonts w:ascii="Cambria" w:hAnsi="Cambria"/>
      <w:sz w:val="24"/>
    </w:rPr>
  </w:style>
  <w:style w:type="paragraph" w:styleId="10">
    <w:name w:val="heading 9"/>
    <w:basedOn w:val="1"/>
    <w:next w:val="1"/>
    <w:link w:val="29"/>
    <w:qFormat/>
    <w:locked/>
    <w:uiPriority w:val="99"/>
    <w:pPr>
      <w:keepNext/>
      <w:keepLines/>
      <w:numPr>
        <w:ilvl w:val="8"/>
        <w:numId w:val="1"/>
      </w:numPr>
      <w:spacing w:before="240" w:after="64" w:line="320" w:lineRule="auto"/>
      <w:outlineLvl w:val="8"/>
    </w:pPr>
    <w:rPr>
      <w:rFonts w:ascii="Cambria" w:hAnsi="Cambria"/>
      <w:szCs w:val="21"/>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35"/>
    <w:unhideWhenUsed/>
    <w:qFormat/>
    <w:uiPriority w:val="99"/>
    <w:pPr>
      <w:jc w:val="left"/>
    </w:pPr>
  </w:style>
  <w:style w:type="paragraph" w:styleId="12">
    <w:name w:val="Balloon Text"/>
    <w:basedOn w:val="1"/>
    <w:link w:val="32"/>
    <w:qFormat/>
    <w:uiPriority w:val="99"/>
    <w:rPr>
      <w:sz w:val="18"/>
      <w:szCs w:val="20"/>
    </w:rPr>
  </w:style>
  <w:style w:type="paragraph" w:styleId="13">
    <w:name w:val="footer"/>
    <w:basedOn w:val="1"/>
    <w:link w:val="31"/>
    <w:qFormat/>
    <w:uiPriority w:val="99"/>
    <w:pPr>
      <w:tabs>
        <w:tab w:val="center" w:pos="4153"/>
        <w:tab w:val="right" w:pos="8306"/>
      </w:tabs>
      <w:snapToGrid w:val="0"/>
      <w:jc w:val="left"/>
    </w:pPr>
    <w:rPr>
      <w:sz w:val="18"/>
      <w:szCs w:val="20"/>
    </w:rPr>
  </w:style>
  <w:style w:type="paragraph" w:styleId="14">
    <w:name w:val="header"/>
    <w:basedOn w:val="1"/>
    <w:link w:val="30"/>
    <w:qFormat/>
    <w:uiPriority w:val="99"/>
    <w:pPr>
      <w:pBdr>
        <w:bottom w:val="single" w:color="auto" w:sz="6" w:space="1"/>
      </w:pBdr>
      <w:tabs>
        <w:tab w:val="center" w:pos="4153"/>
        <w:tab w:val="right" w:pos="8306"/>
      </w:tabs>
      <w:snapToGrid w:val="0"/>
      <w:jc w:val="center"/>
    </w:pPr>
    <w:rPr>
      <w:sz w:val="18"/>
      <w:szCs w:val="20"/>
    </w:rPr>
  </w:style>
  <w:style w:type="paragraph" w:styleId="15">
    <w:name w:val="Normal (Web)"/>
    <w:basedOn w:val="1"/>
    <w:unhideWhenUsed/>
    <w:qFormat/>
    <w:uiPriority w:val="99"/>
    <w:pPr>
      <w:widowControl/>
      <w:spacing w:before="100" w:beforeAutospacing="1" w:after="100" w:afterAutospacing="1" w:line="360" w:lineRule="auto"/>
      <w:jc w:val="left"/>
    </w:pPr>
    <w:rPr>
      <w:rFonts w:ascii="宋体" w:hAnsi="宋体" w:cs="宋体"/>
      <w:kern w:val="0"/>
      <w:sz w:val="20"/>
      <w:szCs w:val="20"/>
    </w:rPr>
  </w:style>
  <w:style w:type="paragraph" w:styleId="16">
    <w:name w:val="annotation subject"/>
    <w:basedOn w:val="11"/>
    <w:next w:val="11"/>
    <w:link w:val="36"/>
    <w:unhideWhenUsed/>
    <w:uiPriority w:val="99"/>
    <w:rPr>
      <w:b/>
      <w:bCs/>
    </w:rPr>
  </w:style>
  <w:style w:type="character" w:styleId="19">
    <w:name w:val="Strong"/>
    <w:basedOn w:val="18"/>
    <w:qFormat/>
    <w:uiPriority w:val="99"/>
    <w:rPr>
      <w:rFonts w:cs="Times New Roman"/>
      <w:b/>
    </w:rPr>
  </w:style>
  <w:style w:type="character" w:styleId="20">
    <w:name w:val="annotation reference"/>
    <w:basedOn w:val="18"/>
    <w:unhideWhenUsed/>
    <w:qFormat/>
    <w:uiPriority w:val="99"/>
    <w:rPr>
      <w:sz w:val="21"/>
      <w:szCs w:val="21"/>
    </w:rPr>
  </w:style>
  <w:style w:type="character" w:customStyle="1" w:styleId="21">
    <w:name w:val="标题 1 Char"/>
    <w:basedOn w:val="18"/>
    <w:link w:val="2"/>
    <w:qFormat/>
    <w:locked/>
    <w:uiPriority w:val="99"/>
    <w:rPr>
      <w:b/>
      <w:kern w:val="44"/>
      <w:sz w:val="44"/>
    </w:rPr>
  </w:style>
  <w:style w:type="character" w:customStyle="1" w:styleId="22">
    <w:name w:val="标题 2 Char"/>
    <w:basedOn w:val="18"/>
    <w:link w:val="3"/>
    <w:qFormat/>
    <w:locked/>
    <w:uiPriority w:val="99"/>
    <w:rPr>
      <w:rFonts w:ascii="Cambria" w:hAnsi="Cambria" w:eastAsia="宋体"/>
      <w:b/>
      <w:kern w:val="2"/>
      <w:sz w:val="32"/>
    </w:rPr>
  </w:style>
  <w:style w:type="character" w:customStyle="1" w:styleId="23">
    <w:name w:val="标题 3 Char"/>
    <w:basedOn w:val="18"/>
    <w:link w:val="4"/>
    <w:semiHidden/>
    <w:qFormat/>
    <w:locked/>
    <w:uiPriority w:val="99"/>
    <w:rPr>
      <w:b/>
      <w:kern w:val="2"/>
      <w:sz w:val="32"/>
    </w:rPr>
  </w:style>
  <w:style w:type="character" w:customStyle="1" w:styleId="24">
    <w:name w:val="标题 4 Char"/>
    <w:basedOn w:val="18"/>
    <w:link w:val="5"/>
    <w:semiHidden/>
    <w:qFormat/>
    <w:locked/>
    <w:uiPriority w:val="99"/>
    <w:rPr>
      <w:rFonts w:ascii="Cambria" w:hAnsi="Cambria" w:eastAsia="宋体"/>
      <w:b/>
      <w:kern w:val="2"/>
      <w:sz w:val="28"/>
    </w:rPr>
  </w:style>
  <w:style w:type="character" w:customStyle="1" w:styleId="25">
    <w:name w:val="标题 5 Char"/>
    <w:basedOn w:val="18"/>
    <w:link w:val="6"/>
    <w:semiHidden/>
    <w:qFormat/>
    <w:locked/>
    <w:uiPriority w:val="99"/>
    <w:rPr>
      <w:b/>
      <w:kern w:val="2"/>
      <w:sz w:val="28"/>
    </w:rPr>
  </w:style>
  <w:style w:type="character" w:customStyle="1" w:styleId="26">
    <w:name w:val="标题 6 Char"/>
    <w:basedOn w:val="18"/>
    <w:link w:val="7"/>
    <w:semiHidden/>
    <w:qFormat/>
    <w:locked/>
    <w:uiPriority w:val="99"/>
    <w:rPr>
      <w:rFonts w:ascii="Cambria" w:hAnsi="Cambria" w:eastAsia="宋体"/>
      <w:b/>
      <w:kern w:val="2"/>
      <w:sz w:val="24"/>
    </w:rPr>
  </w:style>
  <w:style w:type="character" w:customStyle="1" w:styleId="27">
    <w:name w:val="标题 7 Char"/>
    <w:basedOn w:val="18"/>
    <w:link w:val="8"/>
    <w:semiHidden/>
    <w:qFormat/>
    <w:locked/>
    <w:uiPriority w:val="99"/>
    <w:rPr>
      <w:b/>
      <w:kern w:val="2"/>
      <w:sz w:val="24"/>
    </w:rPr>
  </w:style>
  <w:style w:type="character" w:customStyle="1" w:styleId="28">
    <w:name w:val="标题 8 Char"/>
    <w:basedOn w:val="18"/>
    <w:link w:val="9"/>
    <w:semiHidden/>
    <w:qFormat/>
    <w:locked/>
    <w:uiPriority w:val="99"/>
    <w:rPr>
      <w:rFonts w:ascii="Cambria" w:hAnsi="Cambria" w:eastAsia="宋体"/>
      <w:kern w:val="2"/>
      <w:sz w:val="24"/>
    </w:rPr>
  </w:style>
  <w:style w:type="character" w:customStyle="1" w:styleId="29">
    <w:name w:val="标题 9 Char"/>
    <w:basedOn w:val="18"/>
    <w:link w:val="10"/>
    <w:semiHidden/>
    <w:qFormat/>
    <w:locked/>
    <w:uiPriority w:val="99"/>
    <w:rPr>
      <w:rFonts w:ascii="Cambria" w:hAnsi="Cambria" w:eastAsia="宋体"/>
      <w:kern w:val="2"/>
      <w:sz w:val="21"/>
    </w:rPr>
  </w:style>
  <w:style w:type="character" w:customStyle="1" w:styleId="30">
    <w:name w:val="页眉 Char"/>
    <w:basedOn w:val="18"/>
    <w:link w:val="14"/>
    <w:qFormat/>
    <w:locked/>
    <w:uiPriority w:val="99"/>
    <w:rPr>
      <w:kern w:val="2"/>
      <w:sz w:val="18"/>
    </w:rPr>
  </w:style>
  <w:style w:type="character" w:customStyle="1" w:styleId="31">
    <w:name w:val="页脚 Char"/>
    <w:basedOn w:val="18"/>
    <w:link w:val="13"/>
    <w:qFormat/>
    <w:locked/>
    <w:uiPriority w:val="99"/>
    <w:rPr>
      <w:kern w:val="2"/>
      <w:sz w:val="18"/>
    </w:rPr>
  </w:style>
  <w:style w:type="character" w:customStyle="1" w:styleId="32">
    <w:name w:val="批注框文本 Char"/>
    <w:basedOn w:val="18"/>
    <w:link w:val="12"/>
    <w:qFormat/>
    <w:locked/>
    <w:uiPriority w:val="99"/>
    <w:rPr>
      <w:kern w:val="2"/>
      <w:sz w:val="18"/>
    </w:rPr>
  </w:style>
  <w:style w:type="paragraph" w:customStyle="1" w:styleId="33">
    <w:name w:val="列出段落1"/>
    <w:basedOn w:val="1"/>
    <w:qFormat/>
    <w:uiPriority w:val="99"/>
    <w:pPr>
      <w:ind w:firstLine="420" w:firstLineChars="200"/>
    </w:pPr>
  </w:style>
  <w:style w:type="paragraph" w:customStyle="1" w:styleId="34">
    <w:name w:val="列出段落11"/>
    <w:basedOn w:val="1"/>
    <w:qFormat/>
    <w:uiPriority w:val="99"/>
    <w:pPr>
      <w:ind w:firstLine="420" w:firstLineChars="200"/>
    </w:pPr>
    <w:rPr>
      <w:rFonts w:ascii="Cambria" w:hAnsi="Cambria"/>
      <w:sz w:val="24"/>
    </w:rPr>
  </w:style>
  <w:style w:type="character" w:customStyle="1" w:styleId="35">
    <w:name w:val="批注文字 Char"/>
    <w:basedOn w:val="18"/>
    <w:link w:val="11"/>
    <w:semiHidden/>
    <w:qFormat/>
    <w:uiPriority w:val="99"/>
    <w:rPr>
      <w:szCs w:val="24"/>
    </w:rPr>
  </w:style>
  <w:style w:type="character" w:customStyle="1" w:styleId="36">
    <w:name w:val="批注主题 Char"/>
    <w:basedOn w:val="35"/>
    <w:link w:val="16"/>
    <w:semiHidden/>
    <w:qFormat/>
    <w:uiPriority w:val="99"/>
    <w:rPr>
      <w:b/>
      <w:bCs/>
      <w:szCs w:val="24"/>
    </w:rPr>
  </w:style>
  <w:style w:type="paragraph" w:customStyle="1" w:styleId="3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
    <w:name w:val="Intense Emphasis"/>
    <w:basedOn w:val="18"/>
    <w:qFormat/>
    <w:uiPriority w:val="21"/>
    <w:rPr>
      <w:b/>
      <w:bCs/>
      <w:i/>
      <w:iCs/>
      <w:color w:val="4F81BD" w:themeColor="accent1"/>
      <w14:textFill>
        <w14:solidFill>
          <w14:schemeClr w14:val="accent1"/>
        </w14:solidFill>
      </w14:textFill>
    </w:rPr>
  </w:style>
  <w:style w:type="paragraph" w:styleId="3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ompany>
  <Pages>5</Pages>
  <Words>294</Words>
  <Characters>1676</Characters>
  <Lines>13</Lines>
  <Paragraphs>3</Paragraphs>
  <TotalTime>123</TotalTime>
  <ScaleCrop>false</ScaleCrop>
  <LinksUpToDate>false</LinksUpToDate>
  <CharactersWithSpaces>1967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2018-06-12T10:26:00Z</dcterms:created>
  <dc:creator>shilei</dc:creator>
  <cp:lastModifiedBy>cas_user</cp:lastModifiedBy>
  <cp:lastPrinted>2018-06-11T14:27:00Z</cp:lastPrinted>
  <dcterms:modified xsi:type="dcterms:W3CDTF">2023-07-07T13:14:36Z</dcterms:modified>
  <dc:title>附件2：</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