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insoku/>
        <w:wordWrap/>
        <w:overflowPunct/>
        <w:topLinePunct w:val="0"/>
        <w:bidi w:val="0"/>
        <w:snapToGrid/>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沈阳市</w:t>
      </w:r>
      <w:r>
        <w:rPr>
          <w:rFonts w:hint="eastAsia" w:ascii="方正小标宋简体" w:eastAsia="方正小标宋简体" w:cs="方正小标宋简体"/>
          <w:color w:val="auto"/>
          <w:sz w:val="44"/>
          <w:szCs w:val="44"/>
        </w:rPr>
        <w:t>社会治理科技专项申报指南</w:t>
      </w:r>
    </w:p>
    <w:p>
      <w:pPr>
        <w:kinsoku/>
        <w:wordWrap/>
        <w:overflowPunct/>
        <w:topLinePunct w:val="0"/>
        <w:bidi w:val="0"/>
        <w:snapToGrid/>
        <w:spacing w:line="560" w:lineRule="exact"/>
        <w:ind w:firstLine="636"/>
        <w:outlineLvl w:val="0"/>
        <w:rPr>
          <w:rFonts w:ascii="方正小标宋简体" w:eastAsia="方正小标宋简体"/>
          <w:color w:val="auto"/>
          <w:sz w:val="32"/>
          <w:szCs w:val="32"/>
        </w:rPr>
      </w:pPr>
    </w:p>
    <w:p>
      <w:pPr>
        <w:kinsoku/>
        <w:wordWrap/>
        <w:overflowPunct/>
        <w:topLinePunct w:val="0"/>
        <w:bidi w:val="0"/>
        <w:snapToGrid/>
        <w:spacing w:line="560" w:lineRule="exact"/>
        <w:ind w:firstLine="636"/>
        <w:outlineLvl w:val="0"/>
        <w:rPr>
          <w:rFonts w:ascii="黑体" w:hAnsi="黑体" w:eastAsia="黑体"/>
          <w:color w:val="auto"/>
          <w:sz w:val="32"/>
          <w:szCs w:val="32"/>
        </w:rPr>
      </w:pPr>
      <w:r>
        <w:rPr>
          <w:rFonts w:hint="eastAsia" w:ascii="黑体" w:hAnsi="黑体" w:eastAsia="黑体"/>
          <w:color w:val="auto"/>
          <w:sz w:val="32"/>
          <w:szCs w:val="32"/>
        </w:rPr>
        <w:t>一、支持方向</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本计划项目重点支持的技术领域如下：</w:t>
      </w:r>
    </w:p>
    <w:p>
      <w:pPr>
        <w:kinsoku/>
        <w:wordWrap/>
        <w:overflowPunct/>
        <w:topLinePunct w:val="0"/>
        <w:bidi w:val="0"/>
        <w:snapToGrid/>
        <w:spacing w:line="560" w:lineRule="exact"/>
        <w:ind w:firstLine="636"/>
        <w:rPr>
          <w:rFonts w:ascii="楷体_GB2312" w:hAnsi="仿宋" w:eastAsia="楷体_GB2312"/>
          <w:color w:val="auto"/>
          <w:sz w:val="32"/>
          <w:szCs w:val="32"/>
        </w:rPr>
      </w:pPr>
      <w:r>
        <w:rPr>
          <w:rFonts w:hint="eastAsia" w:ascii="楷体_GB2312" w:hAnsi="仿宋" w:eastAsia="楷体_GB2312"/>
          <w:color w:val="auto"/>
          <w:sz w:val="32"/>
          <w:szCs w:val="32"/>
        </w:rPr>
        <w:t>（一）污染防治领域</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针对生态环境领域技术需求，以提供环境问题系统性技术解决方案和生态环境修复的成套技术与装备为目标，推动大气污染防控、水污染治理、土壤污染防治、生态环境监测、固废循环综合利用</w:t>
      </w:r>
      <w:r>
        <w:rPr>
          <w:rFonts w:hint="default" w:ascii="仿宋_GB2312" w:hAnsi="仿宋_GB2312" w:eastAsia="仿宋_GB2312" w:cs="仿宋_GB2312"/>
          <w:color w:val="auto"/>
          <w:sz w:val="32"/>
          <w:szCs w:val="32"/>
          <w:lang w:val="en"/>
        </w:rPr>
        <w:t>、生物多样性保护</w:t>
      </w:r>
      <w:r>
        <w:rPr>
          <w:rFonts w:hint="eastAsia" w:ascii="仿宋_GB2312" w:hAnsi="仿宋_GB2312" w:eastAsia="仿宋_GB2312" w:cs="仿宋_GB2312"/>
          <w:color w:val="auto"/>
          <w:sz w:val="32"/>
          <w:szCs w:val="32"/>
        </w:rPr>
        <w:t>等领域科技创新。</w:t>
      </w:r>
      <w:r>
        <w:rPr>
          <w:rFonts w:hint="default" w:ascii="仿宋_GB2312" w:hAnsi="仿宋_GB2312" w:eastAsia="仿宋_GB2312" w:cs="仿宋_GB2312"/>
          <w:color w:val="auto"/>
          <w:sz w:val="32"/>
          <w:szCs w:val="32"/>
          <w:lang w:val="en"/>
        </w:rPr>
        <w:t>围绕</w:t>
      </w:r>
      <w:r>
        <w:rPr>
          <w:rFonts w:hint="eastAsia" w:ascii="仿宋_GB2312" w:hAnsi="仿宋_GB2312" w:eastAsia="仿宋_GB2312" w:cs="仿宋_GB2312"/>
          <w:color w:val="auto"/>
          <w:sz w:val="32"/>
          <w:szCs w:val="32"/>
        </w:rPr>
        <w:t>提升和改善区域空气质量，开展典型工业炉窑大气污染排放深度净化、挥发性有机物（VOCs）/氮氧化物及温室气体等协同减排等技术攻关和应用示范，鼓励清洁能源高效利用与多能互补技术装备转化应用，推进大气减污降碳协同增效；</w:t>
      </w:r>
      <w:r>
        <w:rPr>
          <w:rFonts w:hint="default" w:ascii="仿宋_GB2312" w:hAnsi="仿宋_GB2312" w:eastAsia="仿宋_GB2312" w:cs="仿宋_GB2312"/>
          <w:color w:val="auto"/>
          <w:sz w:val="32"/>
          <w:szCs w:val="32"/>
          <w:lang w:val="en"/>
        </w:rPr>
        <w:t>促进</w:t>
      </w:r>
      <w:r>
        <w:rPr>
          <w:rFonts w:hint="eastAsia" w:ascii="仿宋_GB2312" w:hAnsi="仿宋_GB2312" w:eastAsia="仿宋_GB2312" w:cs="仿宋_GB2312"/>
          <w:color w:val="auto"/>
          <w:sz w:val="32"/>
          <w:szCs w:val="32"/>
        </w:rPr>
        <w:t>水环境质量持续提升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推进河湖累积污染净化和释放控制、城镇污水协同处理与提质增效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镇污水资源化再生利用等水污染治理和流域生态修复实用技术；推进土壤污染诊断、风险管控、治理与修复等共性关键技术研究，开展土壤环境基准、污染物迁移转化规律等共性关键技术研究；针对生态功能区、重点流域等重要风险受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发展区域环境风险防控预警与环境应急技术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加快便携、快速、自动监测仪器设备等研发和推广应用；围绕“无废城市”建设，开展工业固体废物综合利用、再生资源回收利用技术及装备领域科技攻关，推</w:t>
      </w:r>
      <w:r>
        <w:rPr>
          <w:rFonts w:hint="default" w:ascii="仿宋_GB2312" w:hAnsi="仿宋_GB2312" w:eastAsia="仿宋_GB2312" w:cs="仿宋_GB2312"/>
          <w:color w:val="auto"/>
          <w:sz w:val="32"/>
          <w:szCs w:val="32"/>
          <w:lang w:val="en"/>
        </w:rPr>
        <w:t>动</w:t>
      </w:r>
      <w:r>
        <w:rPr>
          <w:rFonts w:hint="eastAsia" w:ascii="仿宋_GB2312" w:hAnsi="仿宋_GB2312" w:eastAsia="仿宋_GB2312" w:cs="仿宋_GB2312"/>
          <w:color w:val="auto"/>
          <w:sz w:val="32"/>
          <w:szCs w:val="32"/>
          <w:lang w:eastAsia="zh-CN"/>
        </w:rPr>
        <w:t>固体废物源头减量、资源化利用和无害化处置</w:t>
      </w:r>
      <w:r>
        <w:rPr>
          <w:rFonts w:hint="eastAsia" w:ascii="仿宋_GB2312" w:hAnsi="仿宋_GB2312" w:eastAsia="仿宋_GB2312" w:cs="仿宋_GB2312"/>
          <w:color w:val="auto"/>
          <w:sz w:val="32"/>
          <w:szCs w:val="32"/>
        </w:rPr>
        <w:t>技术创新应用；</w:t>
      </w:r>
      <w:r>
        <w:rPr>
          <w:rFonts w:hint="default" w:ascii="仿宋_GB2312" w:hAnsi="仿宋_GB2312" w:eastAsia="仿宋_GB2312" w:cs="仿宋_GB2312"/>
          <w:color w:val="auto"/>
          <w:sz w:val="32"/>
          <w:szCs w:val="32"/>
          <w:lang w:val="en"/>
        </w:rPr>
        <w:t>加强生物多样性保护领域应用技术研究，开展药用和观赏性植物资源化利用、微生物特征检测和筛选等领域技术及产品的研发</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加强生活垃圾分类处理技术和装备研发，开展生活垃圾分类投放、收集、运输、处理</w:t>
      </w:r>
      <w:r>
        <w:rPr>
          <w:rFonts w:hint="eastAsia" w:ascii="仿宋_GB2312" w:hAnsi="仿宋_GB2312" w:eastAsia="仿宋_GB2312" w:cs="仿宋_GB2312"/>
          <w:color w:val="auto"/>
          <w:sz w:val="32"/>
          <w:szCs w:val="32"/>
          <w:lang w:val="en" w:eastAsia="zh-CN"/>
        </w:rPr>
        <w:t>，生活垃圾焚烧飞灰高温熔融</w:t>
      </w:r>
      <w:r>
        <w:rPr>
          <w:rFonts w:hint="default" w:ascii="仿宋_GB2312" w:hAnsi="仿宋_GB2312" w:eastAsia="仿宋_GB2312" w:cs="仿宋_GB2312"/>
          <w:color w:val="auto"/>
          <w:sz w:val="32"/>
          <w:szCs w:val="32"/>
          <w:lang w:val="en"/>
        </w:rPr>
        <w:t>等新技术、新材料研发，改进厨余垃圾处理技术，促进厨余垃圾资源化产品应用</w:t>
      </w:r>
      <w:r>
        <w:rPr>
          <w:rFonts w:hint="eastAsia" w:ascii="仿宋_GB2312" w:hAnsi="仿宋_GB2312" w:eastAsia="仿宋_GB2312" w:cs="仿宋_GB2312"/>
          <w:color w:val="auto"/>
          <w:sz w:val="32"/>
          <w:szCs w:val="32"/>
          <w:lang w:val="en" w:eastAsia="zh-CN"/>
        </w:rPr>
        <w:t>；技术发展水资源高效开发和节约利用技术与应用示范，重点支持水精准计算、水资源高效循环利用、精准节水灌溉控制、管网漏损监测智能化、非常规水利用等先进技术及使用设备研发。</w:t>
      </w:r>
    </w:p>
    <w:p>
      <w:pPr>
        <w:kinsoku/>
        <w:wordWrap/>
        <w:overflowPunct/>
        <w:topLinePunct w:val="0"/>
        <w:bidi w:val="0"/>
        <w:snapToGrid/>
        <w:spacing w:line="560" w:lineRule="exact"/>
        <w:ind w:firstLine="636"/>
        <w:rPr>
          <w:rFonts w:ascii="楷体_GB2312" w:hAnsi="仿宋" w:eastAsia="楷体_GB2312"/>
          <w:color w:val="auto"/>
          <w:sz w:val="32"/>
          <w:szCs w:val="32"/>
        </w:rPr>
      </w:pPr>
      <w:r>
        <w:rPr>
          <w:rFonts w:hint="eastAsia" w:ascii="楷体_GB2312" w:hAnsi="仿宋" w:eastAsia="楷体_GB2312"/>
          <w:color w:val="auto"/>
          <w:sz w:val="32"/>
          <w:szCs w:val="32"/>
        </w:rPr>
        <w:t>（二）城市低碳发展领域</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以实现碳中和为目标的低碳零碳负碳技术研发与示范。加强前沿颠覆性技术创新，聚焦新型绿色氢能技术、超低温电池技术等方向，鼓励自由探索，保障支撑供能领域的可持续供给。围绕结构调整“三篇大文章”，以推进能源、工业、城乡建设、交通运输、节能减污、循环经济、生态碳汇等重点领域节能降碳为重点，突破关键材料、工艺、设备以及产品集成技术，着力提升技术性能并降低经济成本，为产业绿色低碳转型提供集成技术方案。聚焦我市节能降碳重点行业领域和关键环节，实施转化、应用一批绿色低碳工艺技术及装备。开展陆地生态系统碳汇基础理论、基础方法、前沿颠覆性技术研究，为我市推进“双碳”战略提供生态碳汇基础理论支撑。</w:t>
      </w:r>
    </w:p>
    <w:p>
      <w:pPr>
        <w:kinsoku/>
        <w:wordWrap/>
        <w:overflowPunct/>
        <w:topLinePunct w:val="0"/>
        <w:bidi w:val="0"/>
        <w:snapToGrid/>
        <w:spacing w:line="560" w:lineRule="exact"/>
        <w:ind w:firstLine="636"/>
        <w:rPr>
          <w:rFonts w:ascii="楷体_GB2312" w:hAnsi="仿宋" w:eastAsia="楷体_GB2312"/>
          <w:color w:val="auto"/>
          <w:sz w:val="32"/>
          <w:szCs w:val="32"/>
        </w:rPr>
      </w:pPr>
      <w:r>
        <w:rPr>
          <w:rFonts w:hint="eastAsia" w:ascii="楷体_GB2312" w:hAnsi="仿宋" w:eastAsia="楷体_GB2312"/>
          <w:color w:val="auto"/>
          <w:sz w:val="32"/>
          <w:szCs w:val="32"/>
        </w:rPr>
        <w:t>（三）文化和科技融合领域</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文旅产业发展的迫切需要，以提升文化科技创新能力为立足点，面向文化创作、生产、传播和消费等环节，开展语言及试听认知表达、跨媒体内容识别与分析、情感分析、人机交互、混合现实等促进人类视觉、听觉、语言、思维等智能和体验科学应用研究。重点支持文化资源分类与标识、数字化采集与管理、多媒体内容知识化加工处理、VR/AR虚拟制作、4K高清、基于大数据的个性化推荐、文化资源保护与开发利用、知识产权保护与侵权追踪、舆情分析与内容安全监管等文旅产业关键共性技术研究，开发以数字化、网络化、智能化为技术基点的新闻出版、广播影视、文化艺术、创意设计、文物保护利用、数字教育、非物质文化遗产传承发展、文化旅游等重点领域的系统集成应用技术。</w:t>
      </w:r>
    </w:p>
    <w:p>
      <w:pPr>
        <w:kinsoku/>
        <w:wordWrap/>
        <w:overflowPunct/>
        <w:topLinePunct w:val="0"/>
        <w:bidi w:val="0"/>
        <w:snapToGrid/>
        <w:spacing w:line="560" w:lineRule="exact"/>
        <w:ind w:firstLine="636"/>
        <w:rPr>
          <w:rFonts w:ascii="楷体_GB2312" w:hAnsi="仿宋" w:eastAsia="楷体_GB2312"/>
          <w:color w:val="auto"/>
          <w:sz w:val="32"/>
          <w:szCs w:val="32"/>
        </w:rPr>
      </w:pPr>
      <w:r>
        <w:rPr>
          <w:rFonts w:hint="eastAsia" w:ascii="楷体_GB2312" w:hAnsi="仿宋" w:eastAsia="楷体_GB2312"/>
          <w:color w:val="auto"/>
          <w:sz w:val="32"/>
          <w:szCs w:val="32"/>
        </w:rPr>
        <w:t>（四）公共安全领域</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以信息化、智能化技术应用为先导，发展生产安全、消防安全、食品安全、生物安全以及自然灾害的监测、预警、预防技术和应急保障技术，形成科学预测、有效防控、高效应急的公共安全技术体系。实施科技创新支撑平安沈阳建设，强化大数据、人工智能等新技术在政法领域的应用，开展关键核心技术攻关、装备研发。深化风险智能感知和监测预警理论与方法研究，发展信息化、智能化、无人化的安全生产风险监测预警装备。开展重大险情监测、预报、预警等技术及装备研发，促进防灾减灾和应急救援等能力提升。开展火灾预警、监测、勘察关键技术研究，推动高空消防、空中消防等消防产品及装备研发。加强食品安全风险监测与评估、溯源、检测等关键技术研发，开发食物污染防控智能化技术和高通量检验检疫安全监控技术应用示范。强化生物安全创新应用，针对外来物种入侵关键环节，开展鉴定、诱捕、防控等实用技术创新，产品与设备研发</w:t>
      </w:r>
      <w:r>
        <w:rPr>
          <w:rFonts w:hint="eastAsia" w:ascii="仿宋_GB2312" w:hAnsi="仿宋_GB2312" w:eastAsia="仿宋_GB2312" w:cs="仿宋_GB2312"/>
          <w:color w:val="auto"/>
          <w:sz w:val="32"/>
          <w:szCs w:val="32"/>
          <w:lang w:eastAsia="zh-CN"/>
        </w:rPr>
        <w:t>。</w:t>
      </w:r>
    </w:p>
    <w:p>
      <w:pPr>
        <w:kinsoku/>
        <w:wordWrap/>
        <w:overflowPunct/>
        <w:topLinePunct w:val="0"/>
        <w:bidi w:val="0"/>
        <w:snapToGrid/>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二、支持对象</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在沈阳市依法注册并具备独立法人资格的高等院校、科研院所、高新技术企业</w:t>
      </w:r>
      <w:r>
        <w:rPr>
          <w:rFonts w:hint="eastAsia" w:ascii="仿宋_GB2312" w:hAnsi="仿宋_GB2312" w:eastAsia="仿宋_GB2312" w:cs="仿宋_GB2312"/>
          <w:color w:val="auto"/>
          <w:sz w:val="32"/>
          <w:szCs w:val="32"/>
          <w:lang w:eastAsia="zh-CN"/>
        </w:rPr>
        <w:t>。</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项目申请者应当符合以下基本条件：</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1.项目负责人必须是项目申请单位的正式职工</w:t>
      </w:r>
      <w:r>
        <w:rPr>
          <w:rFonts w:hint="eastAsia" w:ascii="仿宋_GB2312" w:hAnsi="仿宋_GB2312" w:eastAsia="仿宋_GB2312" w:cs="仿宋_GB2312"/>
          <w:color w:val="auto"/>
          <w:sz w:val="32"/>
          <w:szCs w:val="32"/>
          <w:lang w:eastAsia="zh-CN"/>
        </w:rPr>
        <w:t>。</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2.项目负责人无主持在研市级科技计划项目</w:t>
      </w:r>
      <w:r>
        <w:rPr>
          <w:rFonts w:hint="eastAsia" w:ascii="仿宋_GB2312" w:hAnsi="仿宋_GB2312" w:eastAsia="仿宋_GB2312" w:cs="仿宋_GB2312"/>
          <w:color w:val="auto"/>
          <w:sz w:val="32"/>
          <w:szCs w:val="32"/>
          <w:lang w:eastAsia="zh-CN"/>
        </w:rPr>
        <w:t>。</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3.申报本专项项目负责人应当是项目申报单位的在职人员，年龄不超过57周岁，无不良科研失信记录，无违反科技伦理规范。同一年度每人限报一项。</w:t>
      </w:r>
    </w:p>
    <w:p>
      <w:pPr>
        <w:kinsoku/>
        <w:wordWrap/>
        <w:overflowPunct/>
        <w:topLinePunct w:val="0"/>
        <w:bidi w:val="0"/>
        <w:snapToGrid/>
        <w:spacing w:line="560" w:lineRule="exact"/>
        <w:ind w:firstLine="640" w:firstLineChars="200"/>
        <w:outlineLvl w:val="0"/>
        <w:rPr>
          <w:rFonts w:ascii="黑体" w:hAnsi="黑体" w:eastAsia="黑体"/>
          <w:color w:val="auto"/>
          <w:sz w:val="32"/>
          <w:szCs w:val="32"/>
        </w:rPr>
      </w:pPr>
      <w:r>
        <w:rPr>
          <w:rFonts w:hint="default" w:ascii="黑体" w:hAnsi="黑体" w:eastAsia="黑体"/>
          <w:color w:val="auto"/>
          <w:sz w:val="32"/>
          <w:szCs w:val="32"/>
          <w:lang w:val="en"/>
        </w:rPr>
        <w:t>三</w:t>
      </w:r>
      <w:r>
        <w:rPr>
          <w:rFonts w:hint="eastAsia" w:ascii="黑体" w:hAnsi="黑体" w:eastAsia="黑体"/>
          <w:color w:val="auto"/>
          <w:sz w:val="32"/>
          <w:szCs w:val="32"/>
        </w:rPr>
        <w:t>、支持方式</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依据市委、市政府重点工作任务，采取择优前资助方式，每项资助</w:t>
      </w:r>
      <w:r>
        <w:rPr>
          <w:rFonts w:hint="default" w:ascii="仿宋_GB2312" w:hAnsi="仿宋_GB2312" w:eastAsia="仿宋_GB2312" w:cs="仿宋_GB2312"/>
          <w:color w:val="auto"/>
          <w:sz w:val="32"/>
          <w:szCs w:val="32"/>
          <w:lang w:val="en"/>
        </w:rPr>
        <w:t>不超过</w:t>
      </w:r>
      <w:r>
        <w:rPr>
          <w:rFonts w:hint="eastAsia" w:ascii="仿宋_GB2312" w:hAnsi="仿宋_GB2312" w:eastAsia="仿宋_GB2312" w:cs="仿宋_GB2312"/>
          <w:color w:val="auto"/>
          <w:sz w:val="32"/>
          <w:szCs w:val="32"/>
        </w:rPr>
        <w:t>30万元。以企业为申报主体的项目，自筹资金占研发总投入比例不低于50%。</w:t>
      </w:r>
    </w:p>
    <w:p>
      <w:pPr>
        <w:pStyle w:val="6"/>
        <w:numPr>
          <w:ilvl w:val="0"/>
          <w:numId w:val="0"/>
        </w:numPr>
        <w:tabs>
          <w:tab w:val="left" w:pos="993"/>
        </w:tabs>
        <w:kinsoku/>
        <w:wordWrap/>
        <w:overflowPunct/>
        <w:topLinePunct w:val="0"/>
        <w:bidi w:val="0"/>
        <w:snapToGrid/>
        <w:spacing w:line="560" w:lineRule="exact"/>
        <w:ind w:left="640" w:leftChars="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四、考核重点</w:t>
      </w:r>
    </w:p>
    <w:p>
      <w:pPr>
        <w:kinsoku/>
        <w:wordWrap/>
        <w:overflowPunct/>
        <w:topLinePunct w:val="0"/>
        <w:bidi w:val="0"/>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1.技术指标：包括解决的关键技术问题，形成的新技术、新工艺、新产品、新标准等。</w:t>
      </w:r>
    </w:p>
    <w:p>
      <w:pPr>
        <w:kinsoku/>
        <w:wordWrap/>
        <w:overflowPunct/>
        <w:topLinePunct w:val="0"/>
        <w:bidi w:val="0"/>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2.社会效益指标：包括实现的主要经济效益、社会效益等，推广、应用、示范情况等指标。</w:t>
      </w:r>
    </w:p>
    <w:p>
      <w:pPr>
        <w:kinsoku/>
        <w:wordWrap/>
        <w:overflowPunct/>
        <w:topLinePunct w:val="0"/>
        <w:bidi w:val="0"/>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3.成果指标：形成的专利、论文、著作等科技成果，培养的专业技术人才队伍等。</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项目考核指标量化具体、可考核性强。</w:t>
      </w:r>
    </w:p>
    <w:p>
      <w:pPr>
        <w:kinsoku/>
        <w:wordWrap/>
        <w:overflowPunct/>
        <w:topLinePunct w:val="0"/>
        <w:bidi w:val="0"/>
        <w:snapToGrid/>
        <w:spacing w:line="560" w:lineRule="exact"/>
        <w:ind w:firstLine="636"/>
        <w:outlineLvl w:val="0"/>
        <w:rPr>
          <w:rFonts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、申报方式及要求</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（一）项目申报单位登录沈阳市科技创新管理平台，进入“科技计划项目—项目申报”模块进行在线填报，计划类别请选择“202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年度沈阳市科学技术计划”，</w:t>
      </w:r>
      <w:r>
        <w:rPr>
          <w:rFonts w:hint="eastAsia" w:ascii="仿宋_GB2312" w:hAnsi="仿宋_GB2312" w:eastAsia="仿宋_GB2312" w:cs="仿宋_GB2312"/>
          <w:color w:val="auto"/>
          <w:sz w:val="32"/>
          <w:szCs w:val="32"/>
          <w:lang w:eastAsia="zh-CN"/>
        </w:rPr>
        <w:t>专项类别</w:t>
      </w:r>
      <w:r>
        <w:rPr>
          <w:rFonts w:hint="eastAsia" w:ascii="仿宋_GB2312" w:hAnsi="仿宋_GB2312" w:eastAsia="仿宋_GB2312" w:cs="仿宋_GB2312"/>
          <w:color w:val="auto"/>
          <w:sz w:val="32"/>
          <w:szCs w:val="32"/>
        </w:rPr>
        <w:t>请选择“社会治理科技专项”，</w:t>
      </w:r>
      <w:r>
        <w:rPr>
          <w:rFonts w:hint="eastAsia" w:ascii="仿宋_GB2312" w:hAnsi="仿宋_GB2312" w:eastAsia="仿宋_GB2312" w:cs="仿宋_GB2312"/>
          <w:color w:val="auto"/>
          <w:sz w:val="32"/>
          <w:szCs w:val="32"/>
          <w:lang w:eastAsia="zh-CN"/>
        </w:rPr>
        <w:t>资助类别</w:t>
      </w:r>
      <w:r>
        <w:rPr>
          <w:rFonts w:hint="eastAsia" w:ascii="仿宋_GB2312" w:hAnsi="仿宋_GB2312" w:eastAsia="仿宋_GB2312" w:cs="仿宋_GB2312"/>
          <w:color w:val="auto"/>
          <w:sz w:val="32"/>
          <w:szCs w:val="32"/>
        </w:rPr>
        <w:t>请选择“前资助”，</w:t>
      </w:r>
      <w:r>
        <w:rPr>
          <w:rFonts w:hint="eastAsia" w:ascii="仿宋_GB2312" w:hAnsi="仿宋_GB2312" w:eastAsia="仿宋_GB2312" w:cs="仿宋_GB2312"/>
          <w:color w:val="auto"/>
          <w:sz w:val="32"/>
          <w:szCs w:val="32"/>
          <w:lang w:eastAsia="zh-CN"/>
        </w:rPr>
        <w:t>管理类别</w:t>
      </w:r>
      <w:r>
        <w:rPr>
          <w:rFonts w:hint="eastAsia" w:ascii="仿宋_GB2312" w:hAnsi="仿宋_GB2312" w:eastAsia="仿宋_GB2312" w:cs="仿宋_GB2312"/>
          <w:color w:val="auto"/>
          <w:sz w:val="32"/>
          <w:szCs w:val="32"/>
        </w:rPr>
        <w:t>请选择“社发处”。</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（二）申报项目名称请规范填写“XXX研究”。</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（三）申报单位须通过“附件”上传以下要件：</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1.项目申报承诺书；</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2.项目可行性研究报告；</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3.项目负责人职称、学历证明等</w:t>
      </w:r>
      <w:r>
        <w:rPr>
          <w:rFonts w:hint="eastAsia" w:ascii="仿宋_GB2312" w:hAnsi="仿宋_GB2312" w:eastAsia="仿宋_GB2312" w:cs="仿宋_GB2312"/>
          <w:color w:val="auto"/>
          <w:sz w:val="32"/>
          <w:szCs w:val="32"/>
          <w:lang w:eastAsia="zh-CN"/>
        </w:rPr>
        <w:t>；</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
        </w:rPr>
        <w:t>4.</w:t>
      </w:r>
      <w:r>
        <w:rPr>
          <w:rFonts w:hint="eastAsia" w:ascii="仿宋_GB2312" w:hAnsi="仿宋_GB2312" w:eastAsia="仿宋_GB2312" w:cs="仿宋_GB2312"/>
          <w:color w:val="auto"/>
          <w:sz w:val="32"/>
          <w:szCs w:val="32"/>
          <w:lang w:val="en" w:eastAsia="zh-CN"/>
        </w:rPr>
        <w:t>产学研</w:t>
      </w:r>
      <w:r>
        <w:rPr>
          <w:rFonts w:hint="eastAsia" w:ascii="仿宋_GB2312" w:hAnsi="仿宋_GB2312" w:eastAsia="仿宋_GB2312" w:cs="仿宋_GB2312"/>
          <w:color w:val="auto"/>
          <w:sz w:val="32"/>
          <w:szCs w:val="32"/>
          <w:lang w:eastAsia="zh-CN"/>
        </w:rPr>
        <w:t>合作协议；</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.其他与申报项目相关的材料。</w:t>
      </w:r>
    </w:p>
    <w:p>
      <w:pPr>
        <w:kinsoku/>
        <w:wordWrap/>
        <w:overflowPunct/>
        <w:topLinePunct w:val="0"/>
        <w:bidi w:val="0"/>
        <w:snapToGrid/>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lang w:val="en" w:eastAsia="zh-CN"/>
        </w:rPr>
        <w:t>六</w:t>
      </w:r>
      <w:r>
        <w:rPr>
          <w:rFonts w:hint="eastAsia" w:ascii="黑体" w:hAnsi="黑体" w:eastAsia="黑体"/>
          <w:color w:val="auto"/>
          <w:sz w:val="32"/>
          <w:szCs w:val="32"/>
        </w:rPr>
        <w:t>、联系方式</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市科技局社发处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孙</w:t>
      </w:r>
      <w:r>
        <w:rPr>
          <w:rFonts w:hint="default" w:ascii="仿宋_GB2312" w:hAnsi="仿宋_GB2312" w:eastAsia="仿宋_GB2312" w:cs="仿宋_GB2312"/>
          <w:color w:val="auto"/>
          <w:sz w:val="32"/>
          <w:szCs w:val="32"/>
          <w:lang w:val="en"/>
        </w:rPr>
        <w:t>宾</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周巍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rPr>
        <w:t>沈云林</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23768180</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p>
    <w:p>
      <w:pPr>
        <w:kinsoku/>
        <w:wordWrap/>
        <w:overflowPunct/>
        <w:topLinePunct w:val="0"/>
        <w:bidi w:val="0"/>
        <w:snapToGrid/>
        <w:spacing w:line="560" w:lineRule="exact"/>
        <w:ind w:firstLine="636"/>
        <w:rPr>
          <w:rFonts w:ascii="仿宋" w:hAnsi="仿宋" w:eastAsia="仿宋"/>
          <w:color w:val="auto"/>
          <w:sz w:val="32"/>
          <w:szCs w:val="32"/>
        </w:rPr>
      </w:pPr>
      <w:r>
        <w:rPr>
          <w:rFonts w:hint="eastAsia" w:eastAsia="仿宋_GB2312"/>
          <w:color w:val="auto"/>
          <w:sz w:val="32"/>
          <w:szCs w:val="32"/>
          <w:lang w:eastAsia="zh-CN"/>
        </w:rPr>
        <w:t>附件：沈阳市社会治理科技专项可行性研究报告提纲</w:t>
      </w:r>
    </w:p>
    <w:p>
      <w:pPr>
        <w:kinsoku/>
        <w:wordWrap/>
        <w:overflowPunct/>
        <w:topLinePunct w:val="0"/>
        <w:bidi w:val="0"/>
        <w:snapToGrid/>
        <w:spacing w:line="560" w:lineRule="exact"/>
        <w:ind w:firstLine="636"/>
        <w:rPr>
          <w:rFonts w:ascii="仿宋" w:hAnsi="仿宋" w:eastAsia="仿宋"/>
          <w:color w:val="auto"/>
          <w:sz w:val="32"/>
          <w:szCs w:val="32"/>
        </w:rPr>
      </w:pPr>
    </w:p>
    <w:p>
      <w:pPr>
        <w:kinsoku/>
        <w:wordWrap/>
        <w:overflowPunct/>
        <w:topLinePunct w:val="0"/>
        <w:bidi w:val="0"/>
        <w:snapToGrid/>
        <w:spacing w:line="560" w:lineRule="exact"/>
        <w:ind w:firstLine="636"/>
        <w:rPr>
          <w:rFonts w:ascii="仿宋" w:hAnsi="仿宋" w:eastAsia="仿宋"/>
          <w:color w:val="auto"/>
          <w:sz w:val="32"/>
          <w:szCs w:val="32"/>
        </w:rPr>
      </w:pPr>
    </w:p>
    <w:p>
      <w:pPr>
        <w:rPr>
          <w:rFonts w:hint="eastAsia" w:ascii="方正小标宋简体" w:hAnsi="黑体" w:eastAsia="方正小标宋简体"/>
          <w:color w:val="auto"/>
          <w:sz w:val="44"/>
          <w:szCs w:val="44"/>
          <w:lang w:eastAsia="zh-CN"/>
        </w:rPr>
      </w:pPr>
      <w:r>
        <w:rPr>
          <w:rFonts w:hint="eastAsia" w:ascii="方正小标宋简体" w:hAnsi="黑体" w:eastAsia="方正小标宋简体"/>
          <w:color w:val="auto"/>
          <w:sz w:val="44"/>
          <w:szCs w:val="44"/>
          <w:lang w:eastAsia="zh-CN"/>
        </w:rPr>
        <w:br w:type="page"/>
      </w:r>
    </w:p>
    <w:p>
      <w:pPr>
        <w:kinsoku/>
        <w:wordWrap/>
        <w:overflowPunct/>
        <w:topLinePunct w:val="0"/>
        <w:bidi w:val="0"/>
        <w:snapToGrid/>
        <w:spacing w:line="560" w:lineRule="exact"/>
        <w:jc w:val="both"/>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附件4-1</w:t>
      </w:r>
    </w:p>
    <w:p>
      <w:pPr>
        <w:kinsoku/>
        <w:wordWrap/>
        <w:overflowPunct/>
        <w:topLinePunct w:val="0"/>
        <w:bidi w:val="0"/>
        <w:snapToGrid/>
        <w:spacing w:line="560" w:lineRule="exact"/>
        <w:jc w:val="center"/>
        <w:rPr>
          <w:rFonts w:hint="eastAsia" w:ascii="黑体" w:hAnsi="黑体" w:eastAsia="黑体" w:cs="黑体"/>
          <w:color w:val="auto"/>
          <w:kern w:val="0"/>
          <w:sz w:val="32"/>
          <w:szCs w:val="32"/>
          <w:lang w:val="en-US" w:eastAsia="zh-CN"/>
        </w:rPr>
      </w:pPr>
    </w:p>
    <w:p>
      <w:pPr>
        <w:kinsoku/>
        <w:wordWrap/>
        <w:overflowPunct/>
        <w:topLinePunct w:val="0"/>
        <w:bidi w:val="0"/>
        <w:snapToGrid/>
        <w:spacing w:line="56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lang w:eastAsia="zh-CN"/>
        </w:rPr>
        <w:t>沈阳市</w:t>
      </w:r>
      <w:r>
        <w:rPr>
          <w:rFonts w:hint="eastAsia" w:ascii="方正小标宋简体" w:hAnsi="黑体" w:eastAsia="方正小标宋简体"/>
          <w:color w:val="auto"/>
          <w:sz w:val="44"/>
          <w:szCs w:val="44"/>
        </w:rPr>
        <w:t>社会治理科技专项</w:t>
      </w:r>
    </w:p>
    <w:p>
      <w:pPr>
        <w:kinsoku/>
        <w:wordWrap/>
        <w:overflowPunct/>
        <w:topLinePunct w:val="0"/>
        <w:bidi w:val="0"/>
        <w:snapToGrid/>
        <w:spacing w:line="56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可行性研究报告提纲</w:t>
      </w:r>
    </w:p>
    <w:p>
      <w:pPr>
        <w:kinsoku/>
        <w:wordWrap/>
        <w:overflowPunct/>
        <w:topLinePunct w:val="0"/>
        <w:bidi w:val="0"/>
        <w:snapToGrid/>
        <w:spacing w:line="560" w:lineRule="exact"/>
        <w:jc w:val="left"/>
        <w:rPr>
          <w:color w:val="auto"/>
        </w:rPr>
      </w:pPr>
    </w:p>
    <w:p>
      <w:pPr>
        <w:kinsoku/>
        <w:wordWrap/>
        <w:overflowPunct/>
        <w:topLinePunct w:val="0"/>
        <w:bidi w:val="0"/>
        <w:snapToGrid/>
        <w:spacing w:line="560" w:lineRule="exact"/>
        <w:ind w:firstLine="707" w:firstLineChars="221"/>
        <w:rPr>
          <w:rFonts w:ascii="黑体" w:hAnsi="黑体" w:eastAsia="黑体"/>
          <w:color w:val="auto"/>
          <w:sz w:val="32"/>
          <w:szCs w:val="32"/>
        </w:rPr>
      </w:pPr>
      <w:r>
        <w:rPr>
          <w:rFonts w:hint="eastAsia" w:ascii="黑体" w:hAnsi="黑体" w:eastAsia="黑体"/>
          <w:color w:val="auto"/>
          <w:sz w:val="32"/>
          <w:szCs w:val="32"/>
        </w:rPr>
        <w:t>一</w:t>
      </w:r>
      <w:r>
        <w:rPr>
          <w:rFonts w:ascii="黑体" w:hAnsi="黑体" w:eastAsia="黑体"/>
          <w:color w:val="auto"/>
          <w:sz w:val="32"/>
          <w:szCs w:val="32"/>
        </w:rPr>
        <w:t>、科学水平及意义</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1.国内外现状、发展趋势对比预测（含主要参考文献）；</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2.科学水平及意义。</w:t>
      </w:r>
    </w:p>
    <w:p>
      <w:pPr>
        <w:kinsoku/>
        <w:wordWrap/>
        <w:overflowPunct/>
        <w:topLinePunct w:val="0"/>
        <w:bidi w:val="0"/>
        <w:snapToGrid/>
        <w:spacing w:line="560" w:lineRule="exact"/>
        <w:ind w:firstLine="707" w:firstLineChars="221"/>
        <w:rPr>
          <w:rFonts w:ascii="黑体" w:hAnsi="黑体" w:eastAsia="黑体"/>
          <w:color w:val="auto"/>
          <w:sz w:val="32"/>
          <w:szCs w:val="32"/>
        </w:rPr>
      </w:pPr>
      <w:r>
        <w:rPr>
          <w:rFonts w:hint="eastAsia" w:ascii="黑体" w:hAnsi="黑体" w:eastAsia="黑体"/>
          <w:color w:val="auto"/>
          <w:sz w:val="32"/>
          <w:szCs w:val="32"/>
        </w:rPr>
        <w:t>二</w:t>
      </w:r>
      <w:r>
        <w:rPr>
          <w:rFonts w:ascii="黑体" w:hAnsi="黑体" w:eastAsia="黑体"/>
          <w:color w:val="auto"/>
          <w:sz w:val="32"/>
          <w:szCs w:val="32"/>
        </w:rPr>
        <w:t>、研究内容</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1.总体目标；</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2.考核指标；</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3.主要研究内容、拟解决的关键问题；</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4.创新点与特色。</w:t>
      </w:r>
    </w:p>
    <w:p>
      <w:pPr>
        <w:kinsoku/>
        <w:wordWrap/>
        <w:overflowPunct/>
        <w:topLinePunct w:val="0"/>
        <w:bidi w:val="0"/>
        <w:snapToGrid/>
        <w:spacing w:line="560" w:lineRule="exact"/>
        <w:ind w:firstLine="707" w:firstLineChars="221"/>
        <w:rPr>
          <w:rFonts w:ascii="黑体" w:hAnsi="黑体" w:eastAsia="黑体"/>
          <w:color w:val="auto"/>
          <w:sz w:val="32"/>
          <w:szCs w:val="32"/>
        </w:rPr>
      </w:pPr>
      <w:r>
        <w:rPr>
          <w:rFonts w:hint="eastAsia" w:ascii="黑体" w:hAnsi="黑体" w:eastAsia="黑体"/>
          <w:color w:val="auto"/>
          <w:sz w:val="32"/>
          <w:szCs w:val="32"/>
        </w:rPr>
        <w:t>三</w:t>
      </w:r>
      <w:r>
        <w:rPr>
          <w:rFonts w:ascii="黑体" w:hAnsi="黑体" w:eastAsia="黑体"/>
          <w:color w:val="auto"/>
          <w:sz w:val="32"/>
          <w:szCs w:val="32"/>
        </w:rPr>
        <w:t>、技术路线</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本项目拟采用的研究方法、技术路线、实验方案及可行性分析。</w:t>
      </w:r>
    </w:p>
    <w:p>
      <w:pPr>
        <w:kinsoku/>
        <w:wordWrap/>
        <w:overflowPunct/>
        <w:topLinePunct w:val="0"/>
        <w:bidi w:val="0"/>
        <w:snapToGrid/>
        <w:spacing w:line="560" w:lineRule="exact"/>
        <w:ind w:firstLine="707" w:firstLineChars="221"/>
        <w:rPr>
          <w:rFonts w:ascii="黑体" w:hAnsi="黑体" w:eastAsia="黑体"/>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、本项目已具备的研究条件</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1.项目组主要成员的研究能力与分工构成情况；</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2.承担单位现有重点实验室研究仪器、设备情况，以及借助其它单位重点实验室等创新平台开展本项目研究的情况；</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3.前期相关工作进展、以及研究时间及其它相关保证条件。</w:t>
      </w:r>
    </w:p>
    <w:p>
      <w:pPr>
        <w:kinsoku/>
        <w:wordWrap/>
        <w:overflowPunct/>
        <w:topLinePunct w:val="0"/>
        <w:bidi w:val="0"/>
        <w:snapToGrid/>
        <w:spacing w:line="560" w:lineRule="exact"/>
        <w:ind w:firstLine="707" w:firstLineChars="221"/>
        <w:rPr>
          <w:rFonts w:ascii="黑体" w:hAnsi="黑体" w:eastAsia="黑体"/>
          <w:color w:val="auto"/>
          <w:sz w:val="32"/>
          <w:szCs w:val="32"/>
        </w:rPr>
      </w:pPr>
      <w:r>
        <w:rPr>
          <w:rFonts w:hint="eastAsia" w:ascii="黑体" w:hAnsi="黑体" w:eastAsia="黑体"/>
          <w:color w:val="auto"/>
          <w:sz w:val="32"/>
          <w:szCs w:val="32"/>
        </w:rPr>
        <w:t>五</w:t>
      </w:r>
      <w:r>
        <w:rPr>
          <w:rFonts w:ascii="黑体" w:hAnsi="黑体" w:eastAsia="黑体"/>
          <w:color w:val="auto"/>
          <w:sz w:val="32"/>
          <w:szCs w:val="32"/>
        </w:rPr>
        <w:t>、项目负责人</w:t>
      </w:r>
      <w:r>
        <w:rPr>
          <w:rFonts w:hint="eastAsia" w:ascii="黑体" w:hAnsi="黑体" w:eastAsia="黑体"/>
          <w:color w:val="auto"/>
          <w:sz w:val="32"/>
          <w:szCs w:val="32"/>
        </w:rPr>
        <w:t>及团队情况</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1.项目负责人职称、学历和科研工作经历；</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2.项目负责人发表与本项目有关的主要论著目录和获奖情况（近三年）；</w:t>
      </w: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3.项目负责人已完成的承担(负责或参加)市级及以上各类科研计划、基金资助项目情况（包括项目名称、编号、来源、起止年月、进展等）。</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olor w:val="auto"/>
          <w:sz w:val="32"/>
          <w:szCs w:val="32"/>
        </w:rPr>
        <w:t>六</w:t>
      </w:r>
      <w:r>
        <w:rPr>
          <w:rFonts w:ascii="黑体" w:hAnsi="黑体" w:eastAsia="黑体"/>
          <w:color w:val="auto"/>
          <w:sz w:val="32"/>
          <w:szCs w:val="32"/>
        </w:rPr>
        <w:t>、经费预算</w:t>
      </w:r>
      <w:r>
        <w:rPr>
          <w:rFonts w:hint="eastAsia" w:ascii="仿宋_GB2312" w:hAnsi="仿宋_GB2312" w:eastAsia="仿宋_GB2312" w:cs="仿宋_GB2312"/>
          <w:color w:val="auto"/>
          <w:sz w:val="32"/>
          <w:szCs w:val="32"/>
        </w:rPr>
        <w:t>（项目预算表、预算证明）</w:t>
      </w:r>
    </w:p>
    <w:p>
      <w:pPr>
        <w:kinsoku/>
        <w:wordWrap/>
        <w:overflowPunct/>
        <w:topLinePunct w:val="0"/>
        <w:bidi w:val="0"/>
        <w:snapToGrid/>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w:t>
      </w:r>
      <w:r>
        <w:rPr>
          <w:rFonts w:hint="eastAsia" w:ascii="黑体" w:hAnsi="黑体" w:eastAsia="黑体"/>
          <w:color w:val="auto"/>
          <w:sz w:val="32"/>
          <w:szCs w:val="32"/>
        </w:rPr>
        <w:t>研究进度</w:t>
      </w:r>
      <w:r>
        <w:rPr>
          <w:rFonts w:ascii="黑体" w:hAnsi="黑体" w:eastAsia="黑体"/>
          <w:color w:val="auto"/>
          <w:sz w:val="32"/>
          <w:szCs w:val="32"/>
        </w:rPr>
        <w:t>计划安排</w:t>
      </w:r>
    </w:p>
    <w:p>
      <w:pPr>
        <w:kinsoku/>
        <w:wordWrap/>
        <w:overflowPunct/>
        <w:topLinePunct w:val="0"/>
        <w:bidi w:val="0"/>
        <w:snapToGrid/>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w:t>
      </w:r>
      <w:r>
        <w:rPr>
          <w:rFonts w:ascii="黑体" w:hAnsi="黑体" w:eastAsia="黑体"/>
          <w:color w:val="auto"/>
          <w:sz w:val="32"/>
          <w:szCs w:val="32"/>
        </w:rPr>
        <w:t>、预期研究成果与应用前景</w:t>
      </w:r>
    </w:p>
    <w:p>
      <w:pPr>
        <w:kinsoku/>
        <w:wordWrap/>
        <w:overflowPunct/>
        <w:topLinePunct w:val="0"/>
        <w:bidi w:val="0"/>
        <w:snapToGrid/>
        <w:spacing w:line="560" w:lineRule="exact"/>
        <w:rPr>
          <w:rFonts w:ascii="黑体" w:hAnsi="黑体" w:eastAsia="黑体"/>
          <w:color w:val="auto"/>
          <w:sz w:val="32"/>
          <w:szCs w:val="32"/>
        </w:rPr>
      </w:pPr>
    </w:p>
    <w:p>
      <w:pPr>
        <w:kinsoku/>
        <w:wordWrap/>
        <w:overflowPunct/>
        <w:topLinePunct w:val="0"/>
        <w:bidi w:val="0"/>
        <w:snapToGrid/>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备注：以上报告不少于5000字。</w:t>
      </w:r>
    </w:p>
    <w:p>
      <w:pPr>
        <w:pStyle w:val="3"/>
        <w:kinsoku/>
        <w:wordWrap/>
        <w:overflowPunct/>
        <w:topLinePunct w:val="0"/>
        <w:bidi w:val="0"/>
        <w:snapToGrid/>
        <w:spacing w:before="0" w:after="0" w:line="560" w:lineRule="exact"/>
        <w:rPr>
          <w:rFonts w:hint="eastAsia" w:ascii="仿宋" w:hAnsi="仿宋" w:eastAsia="仿宋"/>
          <w:color w:val="auto"/>
          <w:sz w:val="32"/>
          <w:szCs w:val="32"/>
        </w:rPr>
      </w:pPr>
    </w:p>
    <w:p>
      <w:pPr>
        <w:kinsoku/>
        <w:wordWrap/>
        <w:overflowPunct/>
        <w:topLinePunct w:val="0"/>
        <w:bidi w:val="0"/>
        <w:snapToGrid/>
        <w:spacing w:line="560" w:lineRule="exact"/>
        <w:rPr>
          <w:rFonts w:hint="eastAsia" w:ascii="仿宋" w:hAnsi="仿宋" w:eastAsia="仿宋"/>
          <w:color w:val="auto"/>
          <w:sz w:val="32"/>
          <w:szCs w:val="32"/>
        </w:rPr>
      </w:pPr>
    </w:p>
    <w:p>
      <w:pPr>
        <w:pStyle w:val="3"/>
        <w:kinsoku/>
        <w:wordWrap/>
        <w:overflowPunct/>
        <w:topLinePunct w:val="0"/>
        <w:bidi w:val="0"/>
        <w:snapToGrid/>
        <w:spacing w:before="0" w:after="0" w:line="560" w:lineRule="exact"/>
        <w:rPr>
          <w:rFonts w:hint="eastAsia" w:ascii="仿宋" w:hAnsi="仿宋" w:eastAsia="仿宋"/>
          <w:color w:val="auto"/>
          <w:sz w:val="32"/>
          <w:szCs w:val="32"/>
        </w:rPr>
      </w:pPr>
    </w:p>
    <w:p>
      <w:pPr>
        <w:kinsoku/>
        <w:wordWrap/>
        <w:overflowPunct/>
        <w:topLinePunct w:val="0"/>
        <w:bidi w:val="0"/>
        <w:snapToGrid/>
        <w:spacing w:line="560" w:lineRule="exact"/>
        <w:rPr>
          <w:rFonts w:hint="eastAsia" w:ascii="仿宋" w:hAnsi="仿宋" w:eastAsia="仿宋"/>
          <w:color w:val="auto"/>
          <w:sz w:val="32"/>
          <w:szCs w:val="32"/>
        </w:rPr>
      </w:pPr>
    </w:p>
    <w:p>
      <w:pPr>
        <w:pStyle w:val="3"/>
        <w:kinsoku/>
        <w:wordWrap/>
        <w:overflowPunct/>
        <w:topLinePunct w:val="0"/>
        <w:bidi w:val="0"/>
        <w:snapToGrid/>
        <w:spacing w:before="0" w:after="0" w:line="560" w:lineRule="exact"/>
        <w:rPr>
          <w:rFonts w:hint="eastAsia" w:ascii="仿宋" w:hAnsi="仿宋" w:eastAsia="仿宋"/>
          <w:color w:val="auto"/>
          <w:sz w:val="32"/>
          <w:szCs w:val="32"/>
        </w:rPr>
      </w:pPr>
    </w:p>
    <w:p>
      <w:pPr>
        <w:kinsoku/>
        <w:wordWrap/>
        <w:overflowPunct/>
        <w:topLinePunct w:val="0"/>
        <w:bidi w:val="0"/>
        <w:snapToGrid/>
        <w:spacing w:line="560" w:lineRule="exact"/>
        <w:rPr>
          <w:rFonts w:hint="eastAsia" w:ascii="仿宋" w:hAnsi="仿宋" w:eastAsia="仿宋"/>
          <w:color w:val="auto"/>
          <w:sz w:val="32"/>
          <w:szCs w:val="32"/>
        </w:rPr>
      </w:pPr>
    </w:p>
    <w:p>
      <w:pPr>
        <w:pStyle w:val="3"/>
        <w:kinsoku/>
        <w:wordWrap/>
        <w:overflowPunct/>
        <w:topLinePunct w:val="0"/>
        <w:bidi w:val="0"/>
        <w:snapToGrid/>
        <w:spacing w:before="0" w:after="0" w:line="560" w:lineRule="exact"/>
        <w:rPr>
          <w:rFonts w:hint="eastAsia" w:ascii="仿宋" w:hAnsi="仿宋" w:eastAsia="仿宋"/>
          <w:color w:val="auto"/>
          <w:sz w:val="32"/>
          <w:szCs w:val="32"/>
        </w:rPr>
      </w:pPr>
    </w:p>
    <w:p>
      <w:pPr>
        <w:kinsoku/>
        <w:wordWrap/>
        <w:overflowPunct/>
        <w:topLinePunct w:val="0"/>
        <w:bidi w:val="0"/>
        <w:snapToGrid/>
        <w:spacing w:line="560" w:lineRule="exact"/>
        <w:rPr>
          <w:rFonts w:hint="eastAsia" w:ascii="仿宋" w:hAnsi="仿宋" w:eastAsia="仿宋"/>
          <w:color w:val="auto"/>
          <w:sz w:val="32"/>
          <w:szCs w:val="32"/>
        </w:rPr>
      </w:pPr>
    </w:p>
    <w:p>
      <w:pPr>
        <w:kinsoku/>
        <w:wordWrap/>
        <w:overflowPunct/>
        <w:topLinePunct w:val="0"/>
        <w:bidi w:val="0"/>
        <w:snapToGrid/>
        <w:spacing w:line="560" w:lineRule="exact"/>
        <w:jc w:val="left"/>
        <w:rPr>
          <w:rFonts w:hint="eastAsia" w:ascii="仿宋_GB2312" w:hAnsi="仿宋_GB2312" w:eastAsia="仿宋_GB2312" w:cs="仿宋_GB2312"/>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01BD3-B78E-45B8-A0DA-AD64CB051F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4E1626E-102E-4053-99F9-6B4CDA6191DD}"/>
  </w:font>
  <w:font w:name="方正小标宋_GBK">
    <w:panose1 w:val="02000000000000000000"/>
    <w:charset w:val="86"/>
    <w:family w:val="auto"/>
    <w:pitch w:val="default"/>
    <w:sig w:usb0="A00002BF" w:usb1="38CF7CFA" w:usb2="00082016" w:usb3="00000000" w:csb0="00040001" w:csb1="00000000"/>
    <w:embedRegular r:id="rId3" w:fontKey="{094182CF-3ED7-46B2-AB5C-12481B8850A2}"/>
  </w:font>
  <w:font w:name="方正小标宋简体">
    <w:panose1 w:val="02000000000000000000"/>
    <w:charset w:val="86"/>
    <w:family w:val="auto"/>
    <w:pitch w:val="default"/>
    <w:sig w:usb0="00000001" w:usb1="08000000" w:usb2="00000000" w:usb3="00000000" w:csb0="00040000" w:csb1="00000000"/>
    <w:embedRegular r:id="rId4" w:fontKey="{E1A31FF8-1A0B-4839-91FA-163496E7E88D}"/>
  </w:font>
  <w:font w:name="仿宋_GB2312">
    <w:altName w:val="仿宋"/>
    <w:panose1 w:val="02010609030101010101"/>
    <w:charset w:val="86"/>
    <w:family w:val="modern"/>
    <w:pitch w:val="default"/>
    <w:sig w:usb0="00000000" w:usb1="00000000" w:usb2="00000000" w:usb3="00000000" w:csb0="00040000" w:csb1="00000000"/>
    <w:embedRegular r:id="rId5" w:fontKey="{647B4220-385E-4F49-B076-2D2C099B96C8}"/>
  </w:font>
  <w:font w:name="楷体_GB2312">
    <w:altName w:val="楷体"/>
    <w:panose1 w:val="02010609030101010101"/>
    <w:charset w:val="86"/>
    <w:family w:val="modern"/>
    <w:pitch w:val="default"/>
    <w:sig w:usb0="00000000" w:usb1="00000000" w:usb2="00000000" w:usb3="00000000" w:csb0="00040000" w:csb1="00000000"/>
    <w:embedRegular r:id="rId6" w:fontKey="{4C50F021-440D-4794-BB05-4F33634516CC}"/>
  </w:font>
  <w:font w:name="仿宋">
    <w:panose1 w:val="02010609060101010101"/>
    <w:charset w:val="86"/>
    <w:family w:val="modern"/>
    <w:pitch w:val="default"/>
    <w:sig w:usb0="800002BF" w:usb1="38CF7CFA" w:usb2="00000016" w:usb3="00000000" w:csb0="00040001" w:csb1="00000000"/>
    <w:embedRegular r:id="rId7" w:fontKey="{D0AA29D8-8F26-4C9A-AD9E-CC451E3CF49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mY1YjYxZWVkMDNjZTQwMTgyYzYzMWQ1ODdlY2UifQ=="/>
  </w:docVars>
  <w:rsids>
    <w:rsidRoot w:val="7D9A2165"/>
    <w:rsid w:val="7D9A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kern w:val="44"/>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List Paragraph"/>
    <w:basedOn w:val="1"/>
    <w:qFormat/>
    <w:uiPriority w:val="34"/>
    <w:pPr>
      <w:ind w:firstLine="420" w:firstLineChars="200"/>
    </w:pPr>
    <w:rPr>
      <w:rFonts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2023-07-06T01:46:00Z</dcterms:created>
  <dc:creator>岳雨</dc:creator>
  <cp:lastModifiedBy>岳雨</cp:lastModifiedBy>
  <dcterms:modified xsi:type="dcterms:W3CDTF">2023-07-06T01:46:50Z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80B868C560C04159A32695CC0D4B30D8_11</vt:lpwstr>
  </property>
</Properties>
</file>